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keepLines w:val="0"/>
        <w:widowControl/>
        <w:kinsoku/>
        <w:wordWrap/>
        <w:overflowPunct/>
        <w:topLinePunct w:val="0"/>
        <w:bidi w:val="0"/>
        <w:adjustRightInd/>
        <w:snapToGrid w:val="0"/>
        <w:spacing w:line="400" w:lineRule="exact"/>
        <w:textAlignment w:val="auto"/>
        <w:rPr>
          <w:rFonts w:hint="default" w:ascii="Times New Roman" w:hAnsi="Times New Roman" w:eastAsia="黑体" w:cs="Times New Roman"/>
          <w:color w:val="auto"/>
          <w:highlight w:val="none"/>
          <w:lang w:eastAsia="zh-CN"/>
        </w:rPr>
      </w:pPr>
      <w:r>
        <w:rPr>
          <w:rFonts w:hint="default" w:ascii="Times New Roman" w:hAnsi="Times New Roman" w:cs="Times New Roman"/>
          <w:color w:val="auto"/>
          <w:highlight w:val="none"/>
        </w:rPr>
        <w:t>东莞优品评价规范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2026年修订版</w:t>
      </w:r>
      <w:r>
        <w:rPr>
          <w:rFonts w:hint="default" w:ascii="Times New Roman" w:hAnsi="Times New Roman" w:cs="Times New Roman"/>
          <w:color w:val="auto"/>
          <w:highlight w:val="none"/>
          <w:lang w:eastAsia="zh-CN"/>
        </w:rPr>
        <w:t>）</w:t>
      </w:r>
    </w:p>
    <w:p>
      <w:pPr>
        <w:pStyle w:val="48"/>
        <w:keepLines w:val="0"/>
        <w:widowControl/>
        <w:kinsoku/>
        <w:wordWrap/>
        <w:overflowPunct/>
        <w:topLinePunct w:val="0"/>
        <w:bidi w:val="0"/>
        <w:adjustRightInd/>
        <w:snapToGrid w:val="0"/>
        <w:spacing w:before="312" w:after="312"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范围</w:t>
      </w:r>
    </w:p>
    <w:p>
      <w:pPr>
        <w:pStyle w:val="23"/>
        <w:keepLines w:val="0"/>
        <w:widowControl/>
        <w:kinsoku/>
        <w:wordWrap/>
        <w:overflowPunct/>
        <w:topLinePunct w:val="0"/>
        <w:bidi w:val="0"/>
        <w:adjustRightIn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本文件规定了东莞优品评价的评价原则、评价对象、评价指标、评价方法与流程、评价文档管理和评价质量的持续改进。</w:t>
      </w:r>
    </w:p>
    <w:p>
      <w:pPr>
        <w:pStyle w:val="23"/>
        <w:keepLines w:val="0"/>
        <w:widowControl/>
        <w:kinsoku/>
        <w:wordWrap/>
        <w:overflowPunct/>
        <w:topLinePunct w:val="0"/>
        <w:bidi w:val="0"/>
        <w:adjustRightIn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本文件适用于对东莞优品的评价。</w:t>
      </w:r>
    </w:p>
    <w:p>
      <w:pPr>
        <w:pStyle w:val="48"/>
        <w:keepLines w:val="0"/>
        <w:widowControl/>
        <w:kinsoku/>
        <w:wordWrap/>
        <w:overflowPunct/>
        <w:topLinePunct w:val="0"/>
        <w:bidi w:val="0"/>
        <w:adjustRightInd/>
        <w:snapToGrid w:val="0"/>
        <w:spacing w:before="312" w:after="312"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规范性引用文件</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本文件没有规范性引用文件。</w:t>
      </w:r>
    </w:p>
    <w:p>
      <w:pPr>
        <w:pStyle w:val="48"/>
        <w:keepLines w:val="0"/>
        <w:widowControl/>
        <w:kinsoku/>
        <w:wordWrap/>
        <w:overflowPunct/>
        <w:topLinePunct w:val="0"/>
        <w:bidi w:val="0"/>
        <w:adjustRightInd/>
        <w:snapToGrid w:val="0"/>
        <w:spacing w:before="312" w:after="312"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术语和定义</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下列术语和定义适用于本文件。</w:t>
      </w:r>
    </w:p>
    <w:p>
      <w:pPr>
        <w:pStyle w:val="128"/>
        <w:keepLines w:val="0"/>
        <w:widowControl/>
        <w:kinsoku/>
        <w:wordWrap/>
        <w:overflowPunct/>
        <w:topLinePunct w:val="0"/>
        <w:bidi w:val="0"/>
        <w:adjustRightInd/>
        <w:spacing w:line="400" w:lineRule="exact"/>
        <w:textAlignment w:val="auto"/>
        <w:rPr>
          <w:rFonts w:hint="default" w:ascii="Times New Roman" w:hAnsi="Times New Roman" w:cs="Times New Roman"/>
          <w:color w:val="auto"/>
          <w:highlight w:val="none"/>
        </w:rPr>
      </w:pPr>
    </w:p>
    <w:p>
      <w:pPr>
        <w:pStyle w:val="45"/>
        <w:keepLines w:val="0"/>
        <w:widowControl/>
        <w:numPr>
          <w:ilvl w:val="0"/>
          <w:numId w:val="0"/>
        </w:numPr>
        <w:kinsoku/>
        <w:wordWrap/>
        <w:overflowPunct/>
        <w:topLinePunct w:val="0"/>
        <w:bidi w:val="0"/>
        <w:adjustRightInd/>
        <w:snapToGrid w:val="0"/>
        <w:spacing w:beforeLines="0" w:afterLines="0" w:line="400" w:lineRule="exact"/>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东莞优品  </w:t>
      </w:r>
      <w:r>
        <w:rPr>
          <w:rFonts w:hint="default" w:ascii="Times New Roman" w:hAnsi="Times New Roman" w:cs="Times New Roman"/>
          <w:color w:val="auto"/>
          <w:highlight w:val="none"/>
          <w:lang w:val="en-US" w:eastAsia="zh-CN"/>
        </w:rPr>
        <w:t>E</w:t>
      </w:r>
      <w:r>
        <w:rPr>
          <w:rFonts w:hint="default" w:ascii="Times New Roman" w:hAnsi="Times New Roman" w:cs="Times New Roman"/>
          <w:color w:val="auto"/>
          <w:highlight w:val="none"/>
        </w:rPr>
        <w:t>xcellent products of Dongguan</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由东莞市行政区域内注册企业生产或授权生产，经相关程序评定其经营过程</w:t>
      </w:r>
      <w:r>
        <w:rPr>
          <w:rFonts w:hint="default" w:ascii="Times New Roman" w:hAnsi="Times New Roman" w:cs="Times New Roman"/>
          <w:color w:val="auto"/>
          <w:highlight w:val="none"/>
          <w:lang w:eastAsia="zh-CN"/>
        </w:rPr>
        <w:t>质量</w:t>
      </w:r>
      <w:r>
        <w:rPr>
          <w:rFonts w:hint="default" w:ascii="Times New Roman" w:hAnsi="Times New Roman" w:cs="Times New Roman"/>
          <w:color w:val="auto"/>
          <w:highlight w:val="none"/>
        </w:rPr>
        <w:t>管理能力达到行业领先水平，经第三方检测其质量指标符合相关标准要求的产品。</w:t>
      </w:r>
    </w:p>
    <w:p>
      <w:pPr>
        <w:pStyle w:val="48"/>
        <w:keepLines w:val="0"/>
        <w:widowControl/>
        <w:kinsoku/>
        <w:wordWrap/>
        <w:overflowPunct/>
        <w:topLinePunct w:val="0"/>
        <w:bidi w:val="0"/>
        <w:adjustRightInd/>
        <w:snapToGrid w:val="0"/>
        <w:spacing w:before="312" w:after="312"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评价原则</w:t>
      </w:r>
    </w:p>
    <w:p>
      <w:pPr>
        <w:pStyle w:val="45"/>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客观性原则</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应依据可验证和可观察的客观信息和数据，遵循明确、具体的标准，采用科学、合理的方法和工具，确保评价结果的客观性和准确性。</w:t>
      </w:r>
    </w:p>
    <w:p>
      <w:pPr>
        <w:pStyle w:val="45"/>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公正性原则</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应在确保评价者的独立性和公正性的前提下，采用相同的、公开的评价标准、评价方法和评价程序进行评价工作，确保评价工作的公正性。</w:t>
      </w:r>
    </w:p>
    <w:p>
      <w:pPr>
        <w:pStyle w:val="45"/>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全面性原则</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在进行评价时，应全面考虑构成东莞优品核心价值的各项要素，制定科学合理的评价指标，以确保评价结果的完整性、准确性和前瞻性。</w:t>
      </w:r>
    </w:p>
    <w:p>
      <w:pPr>
        <w:pStyle w:val="45"/>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可追溯性原则</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评价过程应完整、清晰地记录评价过程和结果，确保评价过程可追溯、评价结果可验证，并接受相关方申述和监督。</w:t>
      </w:r>
    </w:p>
    <w:p>
      <w:pPr>
        <w:pStyle w:val="48"/>
        <w:keepLines w:val="0"/>
        <w:widowControl/>
        <w:kinsoku/>
        <w:wordWrap/>
        <w:overflowPunct/>
        <w:topLinePunct w:val="0"/>
        <w:bidi w:val="0"/>
        <w:adjustRightInd/>
        <w:snapToGrid w:val="0"/>
        <w:spacing w:before="312" w:after="312"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评价指标</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东莞优品评价指标针对工业品和农产品分别制定，包括资料评价指标和现场评价指标。</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工业品资料评价包含组织管理、资源管理、过程管理、产品责任及</w:t>
      </w:r>
      <w:r>
        <w:rPr>
          <w:rFonts w:hint="default" w:ascii="Times New Roman" w:hAnsi="Times New Roman" w:eastAsia="宋体" w:cs="Times New Roman"/>
          <w:color w:val="auto"/>
          <w:highlight w:val="none"/>
          <w:lang w:eastAsia="zh-CN"/>
        </w:rPr>
        <w:t>客户</w:t>
      </w:r>
      <w:r>
        <w:rPr>
          <w:rFonts w:hint="default" w:ascii="Times New Roman" w:hAnsi="Times New Roman" w:eastAsia="宋体" w:cs="Times New Roman"/>
          <w:color w:val="auto"/>
          <w:highlight w:val="none"/>
        </w:rPr>
        <w:t>权益保障、创新能力、品牌管理、数字化建设、绿色发展、社会责任共计9项一级指标和1</w:t>
      </w:r>
      <w:r>
        <w:rPr>
          <w:rFonts w:hint="eastAsia" w:ascii="Times New Roman" w:cs="Times New Roman"/>
          <w:color w:val="auto"/>
          <w:highlight w:val="none"/>
          <w:lang w:val="en-US" w:eastAsia="zh-CN"/>
        </w:rPr>
        <w:t>6</w:t>
      </w:r>
      <w:r>
        <w:rPr>
          <w:rFonts w:hint="default" w:ascii="Times New Roman" w:hAnsi="Times New Roman" w:eastAsia="宋体" w:cs="Times New Roman"/>
          <w:color w:val="auto"/>
          <w:highlight w:val="none"/>
        </w:rPr>
        <w:t>项二级指标，每项二级指标包含若干条评价要求，共计</w:t>
      </w:r>
      <w:r>
        <w:rPr>
          <w:rFonts w:hint="default" w:ascii="Times New Roman" w:hAnsi="Times New Roman" w:eastAsia="宋体" w:cs="Times New Roman"/>
          <w:color w:val="auto"/>
          <w:highlight w:val="none"/>
          <w:lang w:val="en-US" w:eastAsia="zh-CN"/>
        </w:rPr>
        <w:t>34</w:t>
      </w:r>
      <w:r>
        <w:rPr>
          <w:rFonts w:hint="default" w:ascii="Times New Roman" w:hAnsi="Times New Roman" w:eastAsia="宋体" w:cs="Times New Roman"/>
          <w:color w:val="auto"/>
          <w:highlight w:val="none"/>
        </w:rPr>
        <w:t>项评价要求。工业品资料评价指标及评价要求见附录A。</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工业品现场评价</w:t>
      </w:r>
      <w:r>
        <w:rPr>
          <w:rFonts w:hint="default" w:ascii="Times New Roman" w:hAnsi="Times New Roman" w:cs="Times New Roman"/>
          <w:color w:val="auto"/>
          <w:highlight w:val="none"/>
          <w:lang w:eastAsia="zh-CN"/>
        </w:rPr>
        <w:t>包含</w:t>
      </w:r>
      <w:r>
        <w:rPr>
          <w:rFonts w:hint="default" w:ascii="Times New Roman" w:hAnsi="Times New Roman" w:cs="Times New Roman"/>
          <w:color w:val="auto"/>
          <w:highlight w:val="none"/>
        </w:rPr>
        <w:t>生产现场、仓储现场、检验现场3项指标，共计</w:t>
      </w:r>
      <w:r>
        <w:rPr>
          <w:rFonts w:hint="default" w:ascii="Times New Roman" w:hAnsi="Times New Roman" w:cs="Times New Roman"/>
          <w:color w:val="auto"/>
          <w:highlight w:val="none"/>
          <w:lang w:val="en-US" w:eastAsia="zh-CN"/>
        </w:rPr>
        <w:t>14</w:t>
      </w:r>
      <w:r>
        <w:rPr>
          <w:rFonts w:hint="default" w:ascii="Times New Roman" w:hAnsi="Times New Roman" w:cs="Times New Roman"/>
          <w:color w:val="auto"/>
          <w:highlight w:val="none"/>
        </w:rPr>
        <w:t>项评价要求。工业品现场评价指标及评价要求见附录B。</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农产品资料评价指标包含</w:t>
      </w:r>
      <w:r>
        <w:rPr>
          <w:rFonts w:hint="default" w:ascii="Times New Roman" w:hAnsi="Times New Roman" w:eastAsia="宋体" w:cs="Times New Roman"/>
          <w:color w:val="auto"/>
          <w:highlight w:val="none"/>
        </w:rPr>
        <w:t>组织管理、资源管理、过程管理、产品责任及</w:t>
      </w:r>
      <w:r>
        <w:rPr>
          <w:rFonts w:hint="default" w:ascii="Times New Roman" w:hAnsi="Times New Roman" w:eastAsia="宋体" w:cs="Times New Roman"/>
          <w:color w:val="auto"/>
          <w:highlight w:val="none"/>
          <w:lang w:eastAsia="zh-CN"/>
        </w:rPr>
        <w:t>客户</w:t>
      </w:r>
      <w:r>
        <w:rPr>
          <w:rFonts w:hint="default" w:ascii="Times New Roman" w:hAnsi="Times New Roman" w:eastAsia="宋体" w:cs="Times New Roman"/>
          <w:color w:val="auto"/>
          <w:highlight w:val="none"/>
        </w:rPr>
        <w:t>权益保障共计</w:t>
      </w: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项一级指标和</w:t>
      </w:r>
      <w:r>
        <w:rPr>
          <w:rFonts w:hint="eastAsia" w:ascii="Times New Roman" w:cs="Times New Roman"/>
          <w:color w:val="auto"/>
          <w:highlight w:val="none"/>
          <w:lang w:val="en-US" w:eastAsia="zh-CN"/>
        </w:rPr>
        <w:t>10</w:t>
      </w:r>
      <w:r>
        <w:rPr>
          <w:rFonts w:hint="default" w:ascii="Times New Roman" w:hAnsi="Times New Roman" w:eastAsia="宋体" w:cs="Times New Roman"/>
          <w:color w:val="auto"/>
          <w:highlight w:val="none"/>
        </w:rPr>
        <w:t>项二级指标，每项二级指标包含若干条评价要求，共计</w:t>
      </w:r>
      <w:r>
        <w:rPr>
          <w:rFonts w:hint="default" w:ascii="Times New Roman" w:hAnsi="Times New Roman" w:eastAsia="宋体" w:cs="Times New Roman"/>
          <w:color w:val="auto"/>
          <w:highlight w:val="none"/>
          <w:lang w:val="en-US" w:eastAsia="zh-CN"/>
        </w:rPr>
        <w:t>15</w:t>
      </w:r>
      <w:r>
        <w:rPr>
          <w:rFonts w:hint="default" w:ascii="Times New Roman" w:hAnsi="Times New Roman" w:eastAsia="宋体" w:cs="Times New Roman"/>
          <w:color w:val="auto"/>
          <w:highlight w:val="none"/>
        </w:rPr>
        <w:t>项评价要求。</w:t>
      </w:r>
      <w:r>
        <w:rPr>
          <w:rFonts w:hint="default" w:ascii="Times New Roman" w:hAnsi="Times New Roman" w:cs="Times New Roman"/>
          <w:color w:val="auto"/>
          <w:highlight w:val="none"/>
        </w:rPr>
        <w:t>农产品资料评价指标及评价要求见附录C。</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农产品现场评价指标</w:t>
      </w:r>
      <w:r>
        <w:rPr>
          <w:rFonts w:hint="default" w:ascii="Times New Roman" w:hAnsi="Times New Roman" w:cs="Times New Roman"/>
          <w:color w:val="auto"/>
          <w:highlight w:val="none"/>
          <w:lang w:eastAsia="zh-CN"/>
        </w:rPr>
        <w:t>包含</w:t>
      </w:r>
      <w:r>
        <w:rPr>
          <w:rFonts w:hint="default" w:ascii="Times New Roman" w:hAnsi="Times New Roman" w:cs="Times New Roman"/>
          <w:color w:val="auto"/>
          <w:highlight w:val="none"/>
        </w:rPr>
        <w:t>生产现场、仓储现场、检验现场3项指标，共计</w:t>
      </w:r>
      <w:r>
        <w:rPr>
          <w:rFonts w:hint="default" w:ascii="Times New Roman" w:hAnsi="Times New Roman" w:cs="Times New Roman"/>
          <w:color w:val="auto"/>
          <w:highlight w:val="none"/>
          <w:lang w:val="en-US" w:eastAsia="zh-CN"/>
        </w:rPr>
        <w:t>11</w:t>
      </w:r>
      <w:r>
        <w:rPr>
          <w:rFonts w:hint="default" w:ascii="Times New Roman" w:hAnsi="Times New Roman" w:cs="Times New Roman"/>
          <w:color w:val="auto"/>
          <w:highlight w:val="none"/>
        </w:rPr>
        <w:t>项评价要求。农产品评价指标及评价要求见附录D。</w:t>
      </w:r>
    </w:p>
    <w:p>
      <w:pPr>
        <w:pStyle w:val="48"/>
        <w:keepLines w:val="0"/>
        <w:widowControl/>
        <w:kinsoku/>
        <w:wordWrap/>
        <w:overflowPunct/>
        <w:topLinePunct w:val="0"/>
        <w:bidi w:val="0"/>
        <w:adjustRightInd/>
        <w:snapToGrid w:val="0"/>
        <w:spacing w:before="312" w:after="312"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评价方法与流程</w:t>
      </w:r>
    </w:p>
    <w:p>
      <w:pPr>
        <w:pStyle w:val="45"/>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评价方法</w:t>
      </w:r>
    </w:p>
    <w:p>
      <w:pPr>
        <w:pStyle w:val="66"/>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东莞优品评价采用计分方法。资料评价总分赋值为800分，现场评价总</w:t>
      </w:r>
      <w:r>
        <w:rPr>
          <w:rFonts w:hint="eastAsia" w:ascii="Times New Roman" w:cs="Times New Roman"/>
          <w:color w:val="auto"/>
          <w:highlight w:val="none"/>
          <w:lang w:eastAsia="zh-CN"/>
        </w:rPr>
        <w:t>分</w:t>
      </w:r>
      <w:r>
        <w:rPr>
          <w:rFonts w:hint="default" w:ascii="Times New Roman" w:hAnsi="Times New Roman" w:cs="Times New Roman"/>
          <w:color w:val="auto"/>
          <w:highlight w:val="none"/>
        </w:rPr>
        <w:t>赋值为200分，总分合计1000分。</w:t>
      </w:r>
    </w:p>
    <w:p>
      <w:pPr>
        <w:pStyle w:val="66"/>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评价时赋予每项指标的分值准确至个位。</w:t>
      </w:r>
    </w:p>
    <w:p>
      <w:pPr>
        <w:pStyle w:val="45"/>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合格线划定</w:t>
      </w:r>
      <w:bookmarkStart w:id="0" w:name="_GoBack"/>
      <w:bookmarkEnd w:id="0"/>
    </w:p>
    <w:p>
      <w:pPr>
        <w:pStyle w:val="66"/>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根据东莞优品管理要求，划定东莞优品评价合格线为600分。</w:t>
      </w:r>
    </w:p>
    <w:p>
      <w:pPr>
        <w:pStyle w:val="66"/>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评价总得分大于或等于合格线，且质量经第三方检测符合相关标准要求的产品，可入围东莞优品备选名录。</w:t>
      </w:r>
    </w:p>
    <w:p>
      <w:pPr>
        <w:pStyle w:val="66"/>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东莞优品产品</w:t>
      </w:r>
      <w:r>
        <w:rPr>
          <w:rFonts w:hint="default" w:ascii="Times New Roman" w:hAnsi="Times New Roman" w:cs="Times New Roman"/>
          <w:color w:val="auto"/>
          <w:highlight w:val="none"/>
          <w:lang w:eastAsia="zh-CN"/>
        </w:rPr>
        <w:t>原则上</w:t>
      </w:r>
      <w:r>
        <w:rPr>
          <w:rFonts w:hint="default" w:ascii="Times New Roman" w:hAnsi="Times New Roman" w:cs="Times New Roman"/>
          <w:color w:val="auto"/>
          <w:highlight w:val="none"/>
        </w:rPr>
        <w:t>在备选名录中按得分高低及获评名额数量择优确定。</w:t>
      </w:r>
    </w:p>
    <w:p>
      <w:pPr>
        <w:pStyle w:val="45"/>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评价流程</w:t>
      </w:r>
    </w:p>
    <w:p>
      <w:pPr>
        <w:pStyle w:val="49"/>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评价机构</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东莞优品评价机构为东莞优品管理部门或其委托机构，负责组织实施东莞优品评价活动。</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评价机构应建立东莞优品评价专家库。</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纳入评价专家库的专家，应符合以下条件：</w:t>
      </w:r>
    </w:p>
    <w:p>
      <w:pPr>
        <w:pStyle w:val="62"/>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具有中级或以上职称，从事质量管理、标准化、检验检测、认证认可等相关领域工作五年以上；</w:t>
      </w:r>
    </w:p>
    <w:p>
      <w:pPr>
        <w:pStyle w:val="62"/>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掌握评价工作有关的技术标准、评分方法和操作流程，具有解决实际问题的能力；</w:t>
      </w:r>
    </w:p>
    <w:p>
      <w:pPr>
        <w:pStyle w:val="62"/>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热衷促进行业发展相关工作，能认真履行职责，公正廉洁，自觉遵守评价工作相关法律法规、制度纪律和职业道德；</w:t>
      </w:r>
    </w:p>
    <w:p>
      <w:pPr>
        <w:pStyle w:val="62"/>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身体健康，有完成评价工作的时间和精力。</w:t>
      </w:r>
    </w:p>
    <w:p>
      <w:pPr>
        <w:pStyle w:val="49"/>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评价工作组</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评价机构应根据东莞优品评价需要，从专家库中抽取专家组建评价工作组，评价工作组应设组长1名，实行组长负责制。</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评价机构应对入选评价工作组的专家进行东莞优品评价标准的培训，确保入选专家熟悉东莞优品评价指标及其评价方法。</w:t>
      </w:r>
    </w:p>
    <w:p>
      <w:pPr>
        <w:pStyle w:val="49"/>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评价工作方案</w:t>
      </w:r>
    </w:p>
    <w:p>
      <w:pPr>
        <w:pStyle w:val="23"/>
        <w:keepLines w:val="0"/>
        <w:widowControl/>
        <w:kinsoku/>
        <w:wordWrap/>
        <w:overflowPunct/>
        <w:topLinePunct w:val="0"/>
        <w:bidi w:val="0"/>
        <w:adjustRightIn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实施评价前应制定评价工作方案，方案内容应包括评价依据、评价方式、评价组人员构成、工作进度及时间安排等内容。</w:t>
      </w:r>
    </w:p>
    <w:p>
      <w:pPr>
        <w:pStyle w:val="49"/>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评价过程</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评价采取资料评价和现场评价相结合的方式，资料评价和现场评价分别成立评价工作组。</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工业品、农产品申报企业应分别根据附录A、附录C的评价指标向东莞优品评价机构提交各项证明材料。</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实施资料评价前，应对企业及其申报产品的资格进行确认，如不符合东莞优品管理部门公示的资格要求，则终止评价。</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资料评价工作组根据附录A、附录C的评价要求，结合企业证明材料的有效性和真实性，对附录A、附录C的指标进行资料评价打分，资料评价时争议项由资料评价组组长综合资料评价组全体成员意见后确定。</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通过资料评价的企业，可进入现场评价环节。现场评价前，工业品、农产品企业应分别根据附录B、附录D的评价指标准备证明材料供现场评价工作组现场查阅，安排人员配合现场评价工作组实地考察相关场所。</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现场评价工作组根据附录B、附录D的评价要求，结合企业证明材料的有效性和真实性、现场管理情况，对附录B、附录D的指标进行现场评价打分，现场评价时争议项由现场评价组组长综合现场评价组全体成员意见后确定。</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评价后，评价机构汇总各企业资料评价及现场评价得分，形成各企业东莞优品评价总分。</w:t>
      </w:r>
    </w:p>
    <w:p>
      <w:pPr>
        <w:pStyle w:val="49"/>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异议处理</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企业对评价结果提出异议时，评价机构应对异议的情况进行确认，必要时组织专家按本文件第6.3.4条程序进行复核评价。</w:t>
      </w:r>
    </w:p>
    <w:p>
      <w:pPr>
        <w:pStyle w:val="116"/>
        <w:keepLines w:val="0"/>
        <w:widowControl/>
        <w:kinsoku/>
        <w:wordWrap/>
        <w:overflowPunct/>
        <w:topLinePunct w:val="0"/>
        <w:bidi w:val="0"/>
        <w:adjustRightInd/>
        <w:snapToGrid w:val="0"/>
        <w:spacing w:before="0" w:after="0"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复核后确定原评价结果存在错误的，应予以改正并告知企业最终结果。</w:t>
      </w:r>
    </w:p>
    <w:p>
      <w:pPr>
        <w:pStyle w:val="49"/>
        <w:keepLines w:val="0"/>
        <w:widowControl/>
        <w:kinsoku/>
        <w:wordWrap/>
        <w:overflowPunct/>
        <w:topLinePunct w:val="0"/>
        <w:bidi w:val="0"/>
        <w:adjustRightInd/>
        <w:snapToGrid w:val="0"/>
        <w:spacing w:before="156" w:after="156"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评价报告</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评价工作完成后应形成评价报告，报告内容应包括：</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——评价对象；</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——评价依据；</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——评价方式及原则；</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——评价体系；</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——评价分组及专家安排；</w:t>
      </w:r>
    </w:p>
    <w:p>
      <w:pPr>
        <w:pStyle w:val="23"/>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——评价流程和结果。</w:t>
      </w:r>
    </w:p>
    <w:p>
      <w:pPr>
        <w:pStyle w:val="48"/>
        <w:keepLines w:val="0"/>
        <w:widowControl/>
        <w:kinsoku/>
        <w:wordWrap/>
        <w:overflowPunct/>
        <w:topLinePunct w:val="0"/>
        <w:bidi w:val="0"/>
        <w:adjustRightInd/>
        <w:snapToGrid w:val="0"/>
        <w:spacing w:before="312" w:after="312"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评价文档管理</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评价过程所形成的原始记录应由评价机构安排专人保管，保管期限不少于3年。</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评价机构应采取有效措施对文档进行安全保管，并切实加强对涉及企业商业秘密的资料保护。</w:t>
      </w:r>
    </w:p>
    <w:p>
      <w:pPr>
        <w:pStyle w:val="48"/>
        <w:keepLines w:val="0"/>
        <w:widowControl/>
        <w:kinsoku/>
        <w:wordWrap/>
        <w:overflowPunct/>
        <w:topLinePunct w:val="0"/>
        <w:bidi w:val="0"/>
        <w:adjustRightInd/>
        <w:snapToGrid w:val="0"/>
        <w:spacing w:before="312" w:after="312"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评价质量的持续改进</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评价机构应设立监督机构，由专职人员负责监督评价工作的运行情况，确保评价的客观性和公正性。</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东莞优品管理部门应持续修正各项评价指标、评价要求及其赋值。</w:t>
      </w:r>
    </w:p>
    <w:p>
      <w:pPr>
        <w:pStyle w:val="128"/>
        <w:keepLines w:val="0"/>
        <w:widowControl/>
        <w:kinsoku/>
        <w:wordWrap/>
        <w:overflowPunct/>
        <w:topLinePunct w:val="0"/>
        <w:bidi w:val="0"/>
        <w:adjustRightInd/>
        <w:snapToGrid w:val="0"/>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东莞优品管理部门应总结每次评价过程，分析评价方法的有效性、可靠性，促进后续评价工作的评价质量持续提升。</w:t>
      </w:r>
    </w:p>
    <w:p>
      <w:pPr>
        <w:pStyle w:val="48"/>
        <w:numPr>
          <w:ilvl w:val="0"/>
          <w:numId w:val="0"/>
        </w:numPr>
        <w:spacing w:before="312" w:after="312"/>
        <w:rPr>
          <w:rFonts w:hint="default" w:ascii="Times New Roman" w:hAnsi="Times New Roman"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br w:type="page"/>
      </w:r>
    </w:p>
    <w:p>
      <w:pPr>
        <w:pStyle w:val="66"/>
        <w:numPr>
          <w:ilvl w:val="2"/>
          <w:numId w:val="0"/>
        </w:num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附 录 A</w:t>
      </w:r>
    </w:p>
    <w:p>
      <w:pPr>
        <w:pStyle w:val="66"/>
        <w:numPr>
          <w:ilvl w:val="2"/>
          <w:numId w:val="0"/>
        </w:num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(规范性)</w:t>
      </w:r>
    </w:p>
    <w:p>
      <w:pPr>
        <w:pStyle w:val="66"/>
        <w:numPr>
          <w:ilvl w:val="2"/>
          <w:numId w:val="0"/>
        </w:numPr>
        <w:snapToGrid w:val="0"/>
        <w:spacing w:after="283"/>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工业品资料评价指标及评价要求</w:t>
      </w:r>
    </w:p>
    <w:p>
      <w:pPr>
        <w:pStyle w:val="66"/>
        <w:numPr>
          <w:ilvl w:val="2"/>
          <w:numId w:val="0"/>
        </w:numPr>
        <w:ind w:firstLine="42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工业品资料评价指标、评价要求及分值见表A.1。</w:t>
      </w:r>
    </w:p>
    <w:p>
      <w:pPr>
        <w:pStyle w:val="66"/>
        <w:numPr>
          <w:ilvl w:val="2"/>
          <w:numId w:val="0"/>
        </w:numPr>
        <w:spacing w:before="156" w:beforeLines="50" w:after="156" w:afterLines="50"/>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表 A.1  </w:t>
      </w:r>
      <w:r>
        <w:rPr>
          <w:rFonts w:hint="default" w:ascii="Times New Roman" w:hAnsi="Times New Roman" w:eastAsia="黑体" w:cs="Times New Roman"/>
          <w:color w:val="auto"/>
          <w:highlight w:val="none"/>
          <w:lang w:eastAsia="zh-CN"/>
        </w:rPr>
        <w:t>工业品</w:t>
      </w:r>
      <w:r>
        <w:rPr>
          <w:rFonts w:hint="default" w:ascii="Times New Roman" w:hAnsi="Times New Roman" w:eastAsia="黑体" w:cs="Times New Roman"/>
          <w:color w:val="auto"/>
          <w:highlight w:val="none"/>
        </w:rPr>
        <w:t>资料评价指标及评价要求</w:t>
      </w:r>
    </w:p>
    <w:tbl>
      <w:tblPr>
        <w:tblStyle w:val="32"/>
        <w:tblW w:w="9150" w:type="dxa"/>
        <w:jc w:val="center"/>
        <w:tblLayout w:type="fixed"/>
        <w:tblCellMar>
          <w:top w:w="0" w:type="dxa"/>
          <w:left w:w="108" w:type="dxa"/>
          <w:bottom w:w="0" w:type="dxa"/>
          <w:right w:w="108" w:type="dxa"/>
        </w:tblCellMar>
      </w:tblPr>
      <w:tblGrid>
        <w:gridCol w:w="659"/>
        <w:gridCol w:w="1080"/>
        <w:gridCol w:w="1331"/>
        <w:gridCol w:w="5032"/>
        <w:gridCol w:w="1048"/>
      </w:tblGrid>
      <w:tr>
        <w:tblPrEx>
          <w:tblCellMar>
            <w:top w:w="0" w:type="dxa"/>
            <w:left w:w="108" w:type="dxa"/>
            <w:bottom w:w="0" w:type="dxa"/>
            <w:right w:w="108" w:type="dxa"/>
          </w:tblCellMar>
        </w:tblPrEx>
        <w:trPr>
          <w:jc w:val="center"/>
        </w:trPr>
        <w:tc>
          <w:tcPr>
            <w:tcW w:w="659" w:type="dxa"/>
            <w:vMerge w:val="restart"/>
            <w:tcBorders>
              <w:top w:val="single" w:color="auto" w:sz="8" w:space="0"/>
              <w:left w:val="single" w:color="auto" w:sz="8" w:space="0"/>
              <w:bottom w:val="nil"/>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序号</w:t>
            </w:r>
          </w:p>
        </w:tc>
        <w:tc>
          <w:tcPr>
            <w:tcW w:w="2411" w:type="dxa"/>
            <w:gridSpan w:val="2"/>
            <w:tcBorders>
              <w:top w:val="single" w:color="auto" w:sz="8"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指标名称</w:t>
            </w:r>
          </w:p>
        </w:tc>
        <w:tc>
          <w:tcPr>
            <w:tcW w:w="5032" w:type="dxa"/>
            <w:vMerge w:val="restart"/>
            <w:tcBorders>
              <w:top w:val="single" w:color="auto" w:sz="8" w:space="0"/>
              <w:left w:val="single" w:color="auto" w:sz="4" w:space="0"/>
              <w:bottom w:val="single" w:color="auto" w:sz="8"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评价要求</w:t>
            </w:r>
          </w:p>
        </w:tc>
        <w:tc>
          <w:tcPr>
            <w:tcW w:w="1048" w:type="dxa"/>
            <w:vMerge w:val="restart"/>
            <w:tcBorders>
              <w:top w:val="single" w:color="auto" w:sz="8" w:space="0"/>
              <w:left w:val="single" w:color="auto" w:sz="4" w:space="0"/>
              <w:bottom w:val="single" w:color="auto" w:sz="8"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单项分值</w:t>
            </w:r>
          </w:p>
        </w:tc>
      </w:tr>
      <w:tr>
        <w:tblPrEx>
          <w:tblCellMar>
            <w:top w:w="0" w:type="dxa"/>
            <w:left w:w="108" w:type="dxa"/>
            <w:bottom w:w="0" w:type="dxa"/>
            <w:right w:w="108" w:type="dxa"/>
          </w:tblCellMar>
        </w:tblPrEx>
        <w:trPr>
          <w:jc w:val="center"/>
        </w:trPr>
        <w:tc>
          <w:tcPr>
            <w:tcW w:w="659" w:type="dxa"/>
            <w:vMerge w:val="continue"/>
            <w:tcBorders>
              <w:top w:val="nil"/>
              <w:left w:val="single" w:color="auto" w:sz="8" w:space="0"/>
              <w:bottom w:val="single" w:color="auto" w:sz="8" w:space="0"/>
              <w:right w:val="single" w:color="auto"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c>
          <w:tcPr>
            <w:tcW w:w="1080" w:type="dxa"/>
            <w:tcBorders>
              <w:top w:val="single" w:color="auto" w:sz="4" w:space="0"/>
              <w:left w:val="single" w:color="auto" w:sz="4" w:space="0"/>
              <w:bottom w:val="single" w:color="auto" w:sz="8"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一级指标</w:t>
            </w:r>
          </w:p>
        </w:tc>
        <w:tc>
          <w:tcPr>
            <w:tcW w:w="1331" w:type="dxa"/>
            <w:tcBorders>
              <w:top w:val="single" w:color="auto" w:sz="4" w:space="0"/>
              <w:left w:val="single" w:color="auto" w:sz="4" w:space="0"/>
              <w:bottom w:val="single" w:color="auto" w:sz="8"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二级指标</w:t>
            </w:r>
          </w:p>
        </w:tc>
        <w:tc>
          <w:tcPr>
            <w:tcW w:w="5032" w:type="dxa"/>
            <w:vMerge w:val="continue"/>
            <w:tcBorders>
              <w:top w:val="single" w:color="auto" w:sz="8"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c>
          <w:tcPr>
            <w:tcW w:w="1048" w:type="dxa"/>
            <w:vMerge w:val="continue"/>
            <w:tcBorders>
              <w:top w:val="single" w:color="auto" w:sz="8" w:space="0"/>
              <w:left w:val="single" w:color="auto" w:sz="4" w:space="0"/>
              <w:bottom w:val="single" w:color="auto" w:sz="4" w:space="0"/>
              <w:right w:val="single" w:color="auto" w:sz="8"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  组织管理</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1.1  管理体系</w:t>
            </w:r>
          </w:p>
        </w:tc>
        <w:tc>
          <w:tcPr>
            <w:tcW w:w="5032"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bidi="ar"/>
              </w:rPr>
              <w:t xml:space="preserve">1.1.1  </w:t>
            </w:r>
            <w:r>
              <w:rPr>
                <w:rFonts w:hint="default" w:ascii="Times New Roman" w:hAnsi="Times New Roman" w:eastAsia="宋体" w:cs="Times New Roman"/>
                <w:color w:val="auto"/>
                <w:kern w:val="0"/>
                <w:sz w:val="18"/>
                <w:szCs w:val="18"/>
                <w:highlight w:val="none"/>
                <w:lang w:bidi="ar"/>
              </w:rPr>
              <w:t>建立完善的企业管理体系，并保持运行和持续改进</w:t>
            </w:r>
            <w:r>
              <w:rPr>
                <w:rFonts w:hint="default" w:ascii="Times New Roman" w:hAnsi="Times New Roman" w:eastAsia="宋体" w:cs="Times New Roman"/>
                <w:color w:val="auto"/>
                <w:kern w:val="0"/>
                <w:sz w:val="18"/>
                <w:szCs w:val="18"/>
                <w:highlight w:val="none"/>
                <w:lang w:eastAsia="zh-CN" w:bidi="ar"/>
              </w:rPr>
              <w:t>，通过相关管理体系</w:t>
            </w:r>
            <w:r>
              <w:rPr>
                <w:rFonts w:hint="default" w:ascii="Times New Roman" w:hAnsi="Times New Roman" w:eastAsia="宋体" w:cs="Times New Roman"/>
                <w:color w:val="auto"/>
                <w:kern w:val="0"/>
                <w:sz w:val="18"/>
                <w:szCs w:val="18"/>
                <w:highlight w:val="none"/>
                <w:lang w:bidi="ar"/>
              </w:rPr>
              <w:t>认证</w:t>
            </w:r>
            <w:r>
              <w:rPr>
                <w:rFonts w:hint="default" w:ascii="Times New Roman" w:hAnsi="Times New Roman" w:eastAsia="宋体" w:cs="Times New Roman"/>
                <w:color w:val="auto"/>
                <w:kern w:val="0"/>
                <w:sz w:val="18"/>
                <w:szCs w:val="18"/>
                <w:highlight w:val="none"/>
                <w:lang w:eastAsia="zh-CN" w:bidi="ar"/>
              </w:rPr>
              <w:t>，如质量管理体系、环境管理体系、职业健康安全管理体系、测量管理体系、能源管理体系、食品安全管理体系等认证。</w:t>
            </w:r>
          </w:p>
        </w:tc>
        <w:tc>
          <w:tcPr>
            <w:tcW w:w="1048" w:type="dxa"/>
            <w:tcBorders>
              <w:top w:val="single" w:color="auto" w:sz="8"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80</w:t>
            </w:r>
          </w:p>
        </w:tc>
      </w:tr>
      <w:tr>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eastAsia"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bidi="ar"/>
              </w:rPr>
              <w:t xml:space="preserve">1.2  </w:t>
            </w:r>
            <w:r>
              <w:rPr>
                <w:rFonts w:hint="eastAsia" w:cs="Times New Roman"/>
                <w:color w:val="auto"/>
                <w:kern w:val="0"/>
                <w:sz w:val="18"/>
                <w:szCs w:val="18"/>
                <w:highlight w:val="none"/>
                <w:lang w:eastAsia="zh-CN" w:bidi="ar"/>
              </w:rPr>
              <w:t>组织架构</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1.2.1  根据企业管理要求建立合适的组织架构，有完善的组织</w:t>
            </w:r>
            <w:r>
              <w:rPr>
                <w:rFonts w:hint="default" w:ascii="Times New Roman" w:hAnsi="Times New Roman" w:eastAsia="宋体" w:cs="Times New Roman"/>
                <w:color w:val="auto"/>
                <w:kern w:val="0"/>
                <w:sz w:val="18"/>
                <w:szCs w:val="18"/>
                <w:highlight w:val="none"/>
                <w:lang w:eastAsia="zh-CN" w:bidi="ar"/>
              </w:rPr>
              <w:t>架构</w:t>
            </w:r>
            <w:r>
              <w:rPr>
                <w:rFonts w:hint="default" w:ascii="Times New Roman" w:hAnsi="Times New Roman" w:eastAsia="宋体" w:cs="Times New Roman"/>
                <w:color w:val="auto"/>
                <w:kern w:val="0"/>
                <w:sz w:val="18"/>
                <w:szCs w:val="18"/>
                <w:highlight w:val="none"/>
                <w:lang w:bidi="ar"/>
              </w:rPr>
              <w:t>图，明确管理层次，设置相应的部门和岗位。</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1.3  质量战略</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w:t>
            </w:r>
            <w:r>
              <w:rPr>
                <w:rFonts w:hint="eastAsia"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bidi="ar"/>
              </w:rPr>
              <w:t>.</w:t>
            </w:r>
            <w:r>
              <w:rPr>
                <w:rFonts w:hint="eastAsia"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 xml:space="preserve">  将质量战略纳入组织总体战略策划</w:t>
            </w:r>
            <w:r>
              <w:rPr>
                <w:rFonts w:hint="eastAsia" w:cs="Times New Roman"/>
                <w:color w:val="auto"/>
                <w:kern w:val="0"/>
                <w:sz w:val="18"/>
                <w:szCs w:val="18"/>
                <w:highlight w:val="none"/>
                <w:lang w:eastAsia="zh-CN" w:bidi="ar"/>
              </w:rPr>
              <w:t>，</w:t>
            </w:r>
            <w:r>
              <w:rPr>
                <w:rFonts w:hint="default" w:ascii="Times New Roman" w:hAnsi="Times New Roman" w:eastAsia="宋体" w:cs="Times New Roman"/>
                <w:color w:val="auto"/>
                <w:kern w:val="0"/>
                <w:sz w:val="18"/>
                <w:szCs w:val="18"/>
                <w:highlight w:val="none"/>
                <w:lang w:bidi="ar"/>
              </w:rPr>
              <w:t>制定质量方针和质量目标，并将其传达给所有员工，质量目标应可量化和适宜的。</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bidi="ar"/>
              </w:rPr>
              <w:t>4</w:t>
            </w:r>
          </w:p>
        </w:tc>
        <w:tc>
          <w:tcPr>
            <w:tcW w:w="1080" w:type="dxa"/>
            <w:vMerge w:val="restart"/>
            <w:tcBorders>
              <w:top w:val="single" w:color="auto" w:sz="4" w:space="0"/>
              <w:left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  资源管理</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2.1  人力资源管理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2.1.1  建立人力资源管理制度，内容包括但不限于：招聘、培训、任用、解聘等管理要求，符合相关法律、法规要求。</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bidi="ar"/>
              </w:rPr>
              <w:t>5</w:t>
            </w:r>
          </w:p>
        </w:tc>
        <w:tc>
          <w:tcPr>
            <w:tcW w:w="1080" w:type="dxa"/>
            <w:vMerge w:val="continue"/>
            <w:tcBorders>
              <w:left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2.1.2  制定和实施满足岗位要求的能力培训计划，并保留培训记录。</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bidi="ar"/>
              </w:rPr>
              <w:t>6</w:t>
            </w:r>
          </w:p>
        </w:tc>
        <w:tc>
          <w:tcPr>
            <w:tcW w:w="1080" w:type="dxa"/>
            <w:vMerge w:val="continue"/>
            <w:tcBorders>
              <w:left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2.2  设施、设备管理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2.2.1  建立设施设备的管理程序，内容包括但不限于：设施设备的配置、选型、验收、安装调试、保养、维修和报废等管理要求。</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30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bidi="ar"/>
              </w:rPr>
              <w:t>7</w:t>
            </w:r>
          </w:p>
        </w:tc>
        <w:tc>
          <w:tcPr>
            <w:tcW w:w="1080" w:type="dxa"/>
            <w:vMerge w:val="continue"/>
            <w:tcBorders>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2.2.2  建立监视测量设备管理程序，内容包括但不限于监视测量设备的购置、选型、验收、校准、标识和报废等管理要求。</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bidi="ar"/>
              </w:rPr>
              <w:t>8</w:t>
            </w:r>
          </w:p>
        </w:tc>
        <w:tc>
          <w:tcPr>
            <w:tcW w:w="1080" w:type="dxa"/>
            <w:vMerge w:val="restart"/>
            <w:tcBorders>
              <w:left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  过程管理</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 xml:space="preserve">  产品和工艺的设计与开发</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.1  建立产品开发或工艺设计程序，内容包括但不限于：设计和开发的策划、输入、控制、输出及更改、样品管理等过程的要求。</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bidi="ar"/>
              </w:rPr>
              <w:t>9</w:t>
            </w:r>
          </w:p>
        </w:tc>
        <w:tc>
          <w:tcPr>
            <w:tcW w:w="1080" w:type="dxa"/>
            <w:vMerge w:val="continue"/>
            <w:tcBorders>
              <w:left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w:t>
            </w: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 xml:space="preserve">  在产品投入批量生产前，按照确定的标准实施产品检测，保留检测记录。</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30</w:t>
            </w:r>
          </w:p>
        </w:tc>
      </w:tr>
      <w:tr>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10</w:t>
            </w:r>
          </w:p>
        </w:tc>
        <w:tc>
          <w:tcPr>
            <w:tcW w:w="1080" w:type="dxa"/>
            <w:vMerge w:val="continue"/>
            <w:tcBorders>
              <w:left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w:t>
            </w:r>
            <w:r>
              <w:rPr>
                <w:rFonts w:hint="default" w:ascii="Times New Roman" w:hAnsi="Times New Roman" w:eastAsia="宋体"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bidi="ar"/>
              </w:rPr>
              <w:t xml:space="preserve">  对新产品的安全性进行评估和验证，包括但不限于：自主评价、第三方验证、客户验证等。</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30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11</w:t>
            </w:r>
          </w:p>
        </w:tc>
        <w:tc>
          <w:tcPr>
            <w:tcW w:w="1080" w:type="dxa"/>
            <w:vMerge w:val="continue"/>
            <w:tcBorders>
              <w:left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c>
          <w:tcPr>
            <w:tcW w:w="1331" w:type="dxa"/>
            <w:vMerge w:val="restart"/>
            <w:tcBorders>
              <w:top w:val="single" w:color="auto" w:sz="4" w:space="0"/>
              <w:left w:val="single" w:color="auto" w:sz="4" w:space="0"/>
              <w:right w:val="single" w:color="auto" w:sz="4" w:space="0"/>
            </w:tcBorders>
            <w:noWrap w:val="0"/>
            <w:vAlign w:val="center"/>
          </w:tcPr>
          <w:p>
            <w:pPr>
              <w:snapToGrid w:val="0"/>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 xml:space="preserve">  采购管理</w:t>
            </w:r>
          </w:p>
        </w:tc>
        <w:tc>
          <w:tcPr>
            <w:tcW w:w="503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.1  建立供应商（含外包方）管理程序，内容包括但不限于：供应商的选择准则、初次评价和定期评价、初次供货和批量供货验收、不合格品处置等要求。</w:t>
            </w:r>
          </w:p>
        </w:tc>
        <w:tc>
          <w:tcPr>
            <w:tcW w:w="1048"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30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8"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12</w:t>
            </w:r>
          </w:p>
        </w:tc>
        <w:tc>
          <w:tcPr>
            <w:tcW w:w="1080" w:type="dxa"/>
            <w:vMerge w:val="continue"/>
            <w:tcBorders>
              <w:left w:val="single" w:color="auto" w:sz="4" w:space="0"/>
              <w:bottom w:val="single" w:color="auto" w:sz="8" w:space="0"/>
              <w:right w:val="single" w:color="auto"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c>
          <w:tcPr>
            <w:tcW w:w="1331" w:type="dxa"/>
            <w:vMerge w:val="continue"/>
            <w:tcBorders>
              <w:left w:val="single" w:color="auto" w:sz="4" w:space="0"/>
              <w:bottom w:val="single" w:color="auto" w:sz="8" w:space="0"/>
              <w:right w:val="single" w:color="auto" w:sz="4" w:space="0"/>
            </w:tcBorders>
            <w:noWrap w:val="0"/>
            <w:vAlign w:val="center"/>
          </w:tcPr>
          <w:p>
            <w:pPr>
              <w:snapToGrid w:val="0"/>
              <w:rPr>
                <w:rFonts w:hint="default" w:ascii="Times New Roman" w:hAnsi="Times New Roman" w:eastAsia="宋体" w:cs="Times New Roman"/>
                <w:color w:val="auto"/>
                <w:kern w:val="0"/>
                <w:sz w:val="18"/>
                <w:szCs w:val="18"/>
                <w:highlight w:val="none"/>
                <w:lang w:bidi="ar"/>
              </w:rPr>
            </w:pPr>
          </w:p>
        </w:tc>
        <w:tc>
          <w:tcPr>
            <w:tcW w:w="5032" w:type="dxa"/>
            <w:tcBorders>
              <w:top w:val="single" w:color="auto" w:sz="4" w:space="0"/>
              <w:left w:val="single" w:color="auto" w:sz="4" w:space="0"/>
              <w:bottom w:val="single" w:color="auto" w:sz="8"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.2  建立合格供应商（含外包方）清单，包括满足合规要求的证明材料。</w:t>
            </w:r>
          </w:p>
        </w:tc>
        <w:tc>
          <w:tcPr>
            <w:tcW w:w="1048" w:type="dxa"/>
            <w:tcBorders>
              <w:top w:val="single" w:color="auto" w:sz="4" w:space="0"/>
              <w:left w:val="single" w:color="auto" w:sz="4" w:space="0"/>
              <w:bottom w:val="single" w:color="auto" w:sz="8"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30</w:t>
            </w:r>
          </w:p>
        </w:tc>
      </w:tr>
    </w:tbl>
    <w:p>
      <w:pPr>
        <w:pStyle w:val="66"/>
        <w:numPr>
          <w:ilvl w:val="2"/>
          <w:numId w:val="0"/>
        </w:numPr>
        <w:spacing w:before="156" w:beforeLines="50" w:after="156" w:afterLines="50"/>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表 A.1  </w:t>
      </w:r>
      <w:r>
        <w:rPr>
          <w:rFonts w:hint="default" w:ascii="Times New Roman" w:hAnsi="Times New Roman" w:eastAsia="黑体" w:cs="Times New Roman"/>
          <w:color w:val="auto"/>
          <w:highlight w:val="none"/>
          <w:lang w:eastAsia="zh-CN"/>
        </w:rPr>
        <w:t>工业品</w:t>
      </w:r>
      <w:r>
        <w:rPr>
          <w:rFonts w:hint="default" w:ascii="Times New Roman" w:hAnsi="Times New Roman" w:eastAsia="黑体" w:cs="Times New Roman"/>
          <w:color w:val="auto"/>
          <w:highlight w:val="none"/>
        </w:rPr>
        <w:t>资料评价指标及评价要求（续）</w:t>
      </w:r>
    </w:p>
    <w:tbl>
      <w:tblPr>
        <w:tblStyle w:val="32"/>
        <w:tblW w:w="9150" w:type="dxa"/>
        <w:jc w:val="center"/>
        <w:tblLayout w:type="fixed"/>
        <w:tblCellMar>
          <w:top w:w="0" w:type="dxa"/>
          <w:left w:w="108" w:type="dxa"/>
          <w:bottom w:w="0" w:type="dxa"/>
          <w:right w:w="108" w:type="dxa"/>
        </w:tblCellMar>
      </w:tblPr>
      <w:tblGrid>
        <w:gridCol w:w="659"/>
        <w:gridCol w:w="1080"/>
        <w:gridCol w:w="1318"/>
        <w:gridCol w:w="5032"/>
        <w:gridCol w:w="1061"/>
      </w:tblGrid>
      <w:tr>
        <w:tblPrEx>
          <w:tblCellMar>
            <w:top w:w="0" w:type="dxa"/>
            <w:left w:w="108" w:type="dxa"/>
            <w:bottom w:w="0" w:type="dxa"/>
            <w:right w:w="108" w:type="dxa"/>
          </w:tblCellMar>
        </w:tblPrEx>
        <w:trPr>
          <w:jc w:val="center"/>
        </w:trPr>
        <w:tc>
          <w:tcPr>
            <w:tcW w:w="659" w:type="dxa"/>
            <w:vMerge w:val="restart"/>
            <w:tcBorders>
              <w:top w:val="single" w:color="000000" w:sz="8"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序号</w:t>
            </w:r>
          </w:p>
        </w:tc>
        <w:tc>
          <w:tcPr>
            <w:tcW w:w="2398" w:type="dxa"/>
            <w:gridSpan w:val="2"/>
            <w:tcBorders>
              <w:top w:val="single" w:color="000000" w:sz="8"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指标名称</w:t>
            </w:r>
          </w:p>
        </w:tc>
        <w:tc>
          <w:tcPr>
            <w:tcW w:w="5032" w:type="dxa"/>
            <w:vMerge w:val="restart"/>
            <w:tcBorders>
              <w:top w:val="single" w:color="000000" w:sz="8"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评价要求</w:t>
            </w:r>
          </w:p>
        </w:tc>
        <w:tc>
          <w:tcPr>
            <w:tcW w:w="1061" w:type="dxa"/>
            <w:vMerge w:val="restart"/>
            <w:tcBorders>
              <w:top w:val="single" w:color="000000" w:sz="8"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单项分值</w:t>
            </w:r>
          </w:p>
        </w:tc>
      </w:tr>
      <w:tr>
        <w:tblPrEx>
          <w:tblCellMar>
            <w:top w:w="0" w:type="dxa"/>
            <w:left w:w="108" w:type="dxa"/>
            <w:bottom w:w="0" w:type="dxa"/>
            <w:right w:w="108" w:type="dxa"/>
          </w:tblCellMar>
        </w:tblPrEx>
        <w:trPr>
          <w:jc w:val="center"/>
        </w:trPr>
        <w:tc>
          <w:tcPr>
            <w:tcW w:w="659" w:type="dxa"/>
            <w:vMerge w:val="continue"/>
            <w:tcBorders>
              <w:top w:val="single" w:color="000000" w:sz="8"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p>
        </w:tc>
        <w:tc>
          <w:tcPr>
            <w:tcW w:w="1080" w:type="dxa"/>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一级指标</w:t>
            </w:r>
          </w:p>
        </w:tc>
        <w:tc>
          <w:tcPr>
            <w:tcW w:w="1318" w:type="dxa"/>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二级指标</w:t>
            </w:r>
          </w:p>
        </w:tc>
        <w:tc>
          <w:tcPr>
            <w:tcW w:w="5032" w:type="dxa"/>
            <w:vMerge w:val="continue"/>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p>
        </w:tc>
        <w:tc>
          <w:tcPr>
            <w:tcW w:w="1061" w:type="dxa"/>
            <w:vMerge w:val="continue"/>
            <w:tcBorders>
              <w:top w:val="single" w:color="000000" w:sz="4" w:space="0"/>
              <w:left w:val="single" w:color="000000" w:sz="4" w:space="0"/>
              <w:bottom w:val="single" w:color="000000" w:sz="8"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13</w:t>
            </w:r>
          </w:p>
        </w:tc>
        <w:tc>
          <w:tcPr>
            <w:tcW w:w="1080" w:type="dxa"/>
            <w:vMerge w:val="restart"/>
            <w:tcBorders>
              <w:top w:val="single" w:color="000000" w:sz="4" w:space="0"/>
              <w:left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  过程管理</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bidi="ar"/>
              </w:rPr>
              <w:t xml:space="preserve">  仓储及物流管理</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bidi="ar"/>
              </w:rPr>
              <w:t>.1  建立仓库管理程序，内容包括但不限于：仓库的环境控制、出入库管理、仓存品的标识、防护和定期盘点等要求。</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4</w:t>
            </w:r>
            <w:r>
              <w:rPr>
                <w:rFonts w:hint="default" w:ascii="Times New Roman" w:hAnsi="Times New Roman" w:eastAsia="宋体" w:cs="Times New Roman"/>
                <w:color w:val="auto"/>
                <w:kern w:val="0"/>
                <w:sz w:val="18"/>
                <w:szCs w:val="18"/>
                <w:highlight w:val="none"/>
                <w:lang w:bidi="ar"/>
              </w:rPr>
              <w:t xml:space="preserve">  产品质量控制</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4</w:t>
            </w:r>
            <w:r>
              <w:rPr>
                <w:rFonts w:hint="default" w:ascii="Times New Roman" w:hAnsi="Times New Roman" w:eastAsia="宋体" w:cs="Times New Roman"/>
                <w:color w:val="auto"/>
                <w:kern w:val="0"/>
                <w:sz w:val="18"/>
                <w:szCs w:val="18"/>
                <w:highlight w:val="none"/>
                <w:lang w:bidi="ar"/>
              </w:rPr>
              <w:t>.1  建立产品质量风险控制程序，内容包括但不限于：风险的识别、评估、关键点控制、反馈和改进，形成闭环管理。</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40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4</w:t>
            </w:r>
            <w:r>
              <w:rPr>
                <w:rFonts w:hint="default" w:ascii="Times New Roman" w:hAnsi="Times New Roman" w:eastAsia="宋体" w:cs="Times New Roman"/>
                <w:color w:val="auto"/>
                <w:kern w:val="0"/>
                <w:sz w:val="18"/>
                <w:szCs w:val="18"/>
                <w:highlight w:val="none"/>
                <w:lang w:bidi="ar"/>
              </w:rPr>
              <w:t>.2  建立不合格品控制程序，内容包括但不限于：不合格品的判定权限、标识、处置等要求。</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30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  产品责任及</w:t>
            </w:r>
            <w:r>
              <w:rPr>
                <w:rFonts w:hint="default" w:ascii="Times New Roman" w:hAnsi="Times New Roman" w:eastAsia="宋体" w:cs="Times New Roman"/>
                <w:color w:val="auto"/>
                <w:kern w:val="0"/>
                <w:sz w:val="18"/>
                <w:szCs w:val="18"/>
                <w:highlight w:val="none"/>
                <w:lang w:eastAsia="zh-CN" w:bidi="ar"/>
              </w:rPr>
              <w:t>客户</w:t>
            </w:r>
            <w:r>
              <w:rPr>
                <w:rFonts w:hint="default" w:ascii="Times New Roman" w:hAnsi="Times New Roman" w:eastAsia="宋体" w:cs="Times New Roman"/>
                <w:color w:val="auto"/>
                <w:kern w:val="0"/>
                <w:sz w:val="18"/>
                <w:szCs w:val="18"/>
                <w:highlight w:val="none"/>
                <w:lang w:bidi="ar"/>
              </w:rPr>
              <w:t>权益保障</w:t>
            </w:r>
          </w:p>
        </w:tc>
        <w:tc>
          <w:tcPr>
            <w:tcW w:w="13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4.1  产品责任</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4.1.1  公开其申报产品所执行的标准，公开内容和要求应符合国家相关法律法规和规章制度的规定。</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30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4.1.2  采取有效措施确保商品条码质量，避免因商品条码难以识读造成商品流通障碍。</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r>
              <w:rPr>
                <w:rFonts w:hint="default" w:ascii="Times New Roman" w:hAnsi="Times New Roman" w:eastAsia="宋体" w:cs="Times New Roman"/>
                <w:color w:val="auto"/>
                <w:kern w:val="0"/>
                <w:sz w:val="18"/>
                <w:szCs w:val="18"/>
                <w:highlight w:val="none"/>
                <w:lang w:bidi="ar"/>
              </w:rPr>
              <w:t>4.1.3  在产品或其包装、标签、铭牌、附带文件中标注产品警示与提醒信息。</w:t>
            </w:r>
          </w:p>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注：产品警示与提醒信息应标注的内容针对不同产品有不同要求，通常有产品质量警示、安全提醒、健康提醒、环保要求等。</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 xml:space="preserve">4.2  </w:t>
            </w:r>
            <w:r>
              <w:rPr>
                <w:rFonts w:hint="default" w:ascii="Times New Roman" w:hAnsi="Times New Roman" w:eastAsia="宋体" w:cs="Times New Roman"/>
                <w:color w:val="auto"/>
                <w:kern w:val="0"/>
                <w:sz w:val="18"/>
                <w:szCs w:val="18"/>
                <w:highlight w:val="none"/>
                <w:lang w:eastAsia="zh-CN" w:bidi="ar"/>
              </w:rPr>
              <w:t>客户</w:t>
            </w:r>
            <w:r>
              <w:rPr>
                <w:rFonts w:hint="default" w:ascii="Times New Roman" w:hAnsi="Times New Roman" w:eastAsia="宋体" w:cs="Times New Roman"/>
                <w:color w:val="auto"/>
                <w:kern w:val="0"/>
                <w:sz w:val="18"/>
                <w:szCs w:val="18"/>
                <w:highlight w:val="none"/>
                <w:lang w:bidi="ar"/>
              </w:rPr>
              <w:t>权益保障</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4.2.1  建立并实施营销和广告的审查和管理制度，</w:t>
            </w:r>
            <w:r>
              <w:rPr>
                <w:rFonts w:hint="default" w:ascii="Times New Roman" w:hAnsi="Times New Roman" w:eastAsia="宋体" w:cs="Times New Roman"/>
                <w:color w:val="auto"/>
                <w:kern w:val="0"/>
                <w:sz w:val="18"/>
                <w:szCs w:val="18"/>
                <w:highlight w:val="none"/>
                <w:lang w:eastAsia="zh-CN" w:bidi="ar"/>
              </w:rPr>
              <w:t>对</w:t>
            </w:r>
            <w:r>
              <w:rPr>
                <w:rFonts w:hint="default" w:ascii="Times New Roman" w:hAnsi="Times New Roman" w:eastAsia="宋体" w:cs="Times New Roman"/>
                <w:color w:val="auto"/>
                <w:kern w:val="0"/>
                <w:sz w:val="18"/>
                <w:szCs w:val="18"/>
                <w:highlight w:val="none"/>
                <w:lang w:bidi="ar"/>
              </w:rPr>
              <w:t>营销方案和广告内容进行审查，避免对消费者产生消费误导或不良影响。</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continue"/>
            <w:tcBorders>
              <w:left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r>
              <w:rPr>
                <w:rFonts w:hint="default" w:ascii="Times New Roman" w:hAnsi="Times New Roman" w:eastAsia="宋体" w:cs="Times New Roman"/>
                <w:color w:val="auto"/>
                <w:kern w:val="0"/>
                <w:sz w:val="18"/>
                <w:szCs w:val="18"/>
                <w:highlight w:val="none"/>
                <w:lang w:val="en-US" w:eastAsia="zh-CN" w:bidi="ar"/>
              </w:rPr>
              <w:t>4.2</w:t>
            </w:r>
            <w:r>
              <w:rPr>
                <w:rFonts w:hint="default" w:ascii="Times New Roman" w:hAnsi="Times New Roman" w:eastAsia="宋体" w:cs="Times New Roman"/>
                <w:color w:val="auto"/>
                <w:kern w:val="0"/>
                <w:sz w:val="18"/>
                <w:szCs w:val="18"/>
                <w:highlight w:val="none"/>
                <w:lang w:bidi="ar"/>
              </w:rPr>
              <w:t>.</w:t>
            </w: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 xml:space="preserve">  建立完善的客户服务体系，能提供及时、有效的售后服务。</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30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continue"/>
            <w:tcBorders>
              <w:left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r>
              <w:rPr>
                <w:rFonts w:hint="default" w:ascii="Times New Roman" w:hAnsi="Times New Roman" w:eastAsia="宋体" w:cs="Times New Roman"/>
                <w:color w:val="auto"/>
                <w:kern w:val="0"/>
                <w:sz w:val="18"/>
                <w:szCs w:val="18"/>
                <w:highlight w:val="none"/>
                <w:lang w:val="en-US" w:eastAsia="zh-CN" w:bidi="ar"/>
              </w:rPr>
              <w:t>4.2.3</w:t>
            </w:r>
            <w:r>
              <w:rPr>
                <w:rFonts w:hint="default" w:ascii="Times New Roman" w:hAnsi="Times New Roman" w:eastAsia="宋体" w:cs="Times New Roman"/>
                <w:color w:val="auto"/>
                <w:kern w:val="0"/>
                <w:sz w:val="18"/>
                <w:szCs w:val="18"/>
                <w:highlight w:val="none"/>
                <w:lang w:bidi="ar"/>
              </w:rPr>
              <w:t xml:space="preserve">  建立客户投处理程序，内容包括但不限于：投诉渠道、投诉分类、投诉处理流程、响应时效要求、改进要求等。</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30</w:t>
            </w:r>
          </w:p>
        </w:tc>
      </w:tr>
      <w:tr>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4.2.</w:t>
            </w:r>
            <w:r>
              <w:rPr>
                <w:rFonts w:hint="default" w:ascii="Times New Roman" w:hAnsi="Times New Roman" w:eastAsia="宋体" w:cs="Times New Roman"/>
                <w:color w:val="auto"/>
                <w:kern w:val="0"/>
                <w:sz w:val="18"/>
                <w:szCs w:val="18"/>
                <w:highlight w:val="none"/>
                <w:lang w:val="en-US" w:eastAsia="zh-CN" w:bidi="ar"/>
              </w:rPr>
              <w:t>4</w:t>
            </w:r>
            <w:r>
              <w:rPr>
                <w:rFonts w:hint="default" w:ascii="Times New Roman" w:hAnsi="Times New Roman" w:eastAsia="宋体" w:cs="Times New Roman"/>
                <w:color w:val="auto"/>
                <w:kern w:val="0"/>
                <w:sz w:val="18"/>
                <w:szCs w:val="18"/>
                <w:highlight w:val="none"/>
                <w:lang w:bidi="ar"/>
              </w:rPr>
              <w:t xml:space="preserve">  建立产品召回程序，包括但不限于：产品缺陷的发现、危害评估、决策和报告、召回计划的制定、召回实施、后续处理与改进等关键流程。</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5  品牌管理</w:t>
            </w:r>
          </w:p>
        </w:tc>
        <w:tc>
          <w:tcPr>
            <w:tcW w:w="13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5.1  品牌管理</w:t>
            </w: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5.1.1  制定品牌发展规划，明确品牌发展目标、定位和核心价值，以确保品牌发展方向正确清晰。</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r>
              <w:rPr>
                <w:rFonts w:hint="default" w:ascii="Times New Roman" w:hAnsi="Times New Roman" w:eastAsia="宋体" w:cs="Times New Roman"/>
                <w:color w:val="auto"/>
                <w:kern w:val="0"/>
                <w:sz w:val="18"/>
                <w:szCs w:val="18"/>
                <w:highlight w:val="none"/>
                <w:lang w:bidi="ar"/>
              </w:rPr>
              <w:t>5.1.</w:t>
            </w: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 xml:space="preserve">  采取有效的品牌传播和推广策略塑造品牌形象。</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50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r>
              <w:rPr>
                <w:rFonts w:hint="default" w:ascii="Times New Roman" w:hAnsi="Times New Roman" w:eastAsia="宋体" w:cs="Times New Roman"/>
                <w:color w:val="auto"/>
                <w:kern w:val="0"/>
                <w:sz w:val="18"/>
                <w:szCs w:val="18"/>
                <w:highlight w:val="none"/>
                <w:lang w:bidi="ar"/>
              </w:rPr>
              <w:t>5.1.</w:t>
            </w:r>
            <w:r>
              <w:rPr>
                <w:rFonts w:hint="default" w:ascii="Times New Roman" w:hAnsi="Times New Roman" w:eastAsia="宋体"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bidi="ar"/>
              </w:rPr>
              <w:t xml:space="preserve">  有较高的品牌美誉度和忠诚度。</w:t>
            </w:r>
          </w:p>
        </w:tc>
        <w:tc>
          <w:tcPr>
            <w:tcW w:w="1061"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w:t>
            </w:r>
          </w:p>
        </w:tc>
      </w:tr>
    </w:tbl>
    <w:p>
      <w:pPr>
        <w:pStyle w:val="66"/>
        <w:numPr>
          <w:ilvl w:val="2"/>
          <w:numId w:val="0"/>
        </w:numPr>
        <w:spacing w:before="156" w:beforeLines="50" w:after="156" w:afterLines="50"/>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表 A.1  </w:t>
      </w:r>
      <w:r>
        <w:rPr>
          <w:rFonts w:hint="default" w:ascii="Times New Roman" w:hAnsi="Times New Roman" w:eastAsia="黑体" w:cs="Times New Roman"/>
          <w:color w:val="auto"/>
          <w:highlight w:val="none"/>
          <w:lang w:eastAsia="zh-CN"/>
        </w:rPr>
        <w:t>工业品</w:t>
      </w:r>
      <w:r>
        <w:rPr>
          <w:rFonts w:hint="default" w:ascii="Times New Roman" w:hAnsi="Times New Roman" w:eastAsia="黑体" w:cs="Times New Roman"/>
          <w:color w:val="auto"/>
          <w:highlight w:val="none"/>
        </w:rPr>
        <w:t>资料评价指标及评价要求（续）</w:t>
      </w:r>
    </w:p>
    <w:tbl>
      <w:tblPr>
        <w:tblStyle w:val="32"/>
        <w:tblW w:w="9150" w:type="dxa"/>
        <w:jc w:val="center"/>
        <w:tblLayout w:type="fixed"/>
        <w:tblCellMar>
          <w:top w:w="0" w:type="dxa"/>
          <w:left w:w="108" w:type="dxa"/>
          <w:bottom w:w="0" w:type="dxa"/>
          <w:right w:w="108" w:type="dxa"/>
        </w:tblCellMar>
      </w:tblPr>
      <w:tblGrid>
        <w:gridCol w:w="659"/>
        <w:gridCol w:w="1080"/>
        <w:gridCol w:w="1308"/>
        <w:gridCol w:w="5059"/>
        <w:gridCol w:w="1044"/>
      </w:tblGrid>
      <w:tr>
        <w:tblPrEx>
          <w:tblCellMar>
            <w:top w:w="0" w:type="dxa"/>
            <w:left w:w="108" w:type="dxa"/>
            <w:bottom w:w="0" w:type="dxa"/>
            <w:right w:w="108" w:type="dxa"/>
          </w:tblCellMar>
        </w:tblPrEx>
        <w:trPr>
          <w:jc w:val="center"/>
        </w:trPr>
        <w:tc>
          <w:tcPr>
            <w:tcW w:w="659" w:type="dxa"/>
            <w:vMerge w:val="restart"/>
            <w:tcBorders>
              <w:top w:val="single" w:color="000000" w:sz="8"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序号</w:t>
            </w:r>
          </w:p>
        </w:tc>
        <w:tc>
          <w:tcPr>
            <w:tcW w:w="2388" w:type="dxa"/>
            <w:gridSpan w:val="2"/>
            <w:tcBorders>
              <w:top w:val="single" w:color="000000" w:sz="8"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指标名称</w:t>
            </w:r>
          </w:p>
        </w:tc>
        <w:tc>
          <w:tcPr>
            <w:tcW w:w="5059" w:type="dxa"/>
            <w:vMerge w:val="restart"/>
            <w:tcBorders>
              <w:top w:val="single" w:color="000000" w:sz="8"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评价要求</w:t>
            </w:r>
          </w:p>
        </w:tc>
        <w:tc>
          <w:tcPr>
            <w:tcW w:w="1044" w:type="dxa"/>
            <w:vMerge w:val="restart"/>
            <w:tcBorders>
              <w:top w:val="single" w:color="000000" w:sz="8"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单项分值</w:t>
            </w:r>
          </w:p>
        </w:tc>
      </w:tr>
      <w:tr>
        <w:tblPrEx>
          <w:tblCellMar>
            <w:top w:w="0" w:type="dxa"/>
            <w:left w:w="108" w:type="dxa"/>
            <w:bottom w:w="0" w:type="dxa"/>
            <w:right w:w="108" w:type="dxa"/>
          </w:tblCellMar>
        </w:tblPrEx>
        <w:trPr>
          <w:trHeight w:val="90" w:hRule="atLeast"/>
          <w:jc w:val="center"/>
        </w:trPr>
        <w:tc>
          <w:tcPr>
            <w:tcW w:w="659" w:type="dxa"/>
            <w:vMerge w:val="continue"/>
            <w:tcBorders>
              <w:top w:val="single" w:color="000000" w:sz="8"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kern w:val="0"/>
                <w:sz w:val="18"/>
                <w:szCs w:val="18"/>
                <w:highlight w:val="none"/>
                <w:lang w:bidi="ar"/>
              </w:rPr>
            </w:pPr>
          </w:p>
        </w:tc>
        <w:tc>
          <w:tcPr>
            <w:tcW w:w="1080" w:type="dxa"/>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一级指标</w:t>
            </w:r>
          </w:p>
        </w:tc>
        <w:tc>
          <w:tcPr>
            <w:tcW w:w="1308" w:type="dxa"/>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二级指标</w:t>
            </w:r>
          </w:p>
        </w:tc>
        <w:tc>
          <w:tcPr>
            <w:tcW w:w="5059" w:type="dxa"/>
            <w:vMerge w:val="continue"/>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kern w:val="0"/>
                <w:sz w:val="18"/>
                <w:szCs w:val="18"/>
                <w:highlight w:val="none"/>
                <w:lang w:bidi="ar"/>
              </w:rPr>
            </w:pPr>
          </w:p>
        </w:tc>
        <w:tc>
          <w:tcPr>
            <w:tcW w:w="1044" w:type="dxa"/>
            <w:vMerge w:val="continue"/>
            <w:tcBorders>
              <w:top w:val="single" w:color="000000" w:sz="4" w:space="0"/>
              <w:left w:val="single" w:color="000000" w:sz="4" w:space="0"/>
              <w:bottom w:val="single" w:color="000000" w:sz="8"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kern w:val="0"/>
                <w:sz w:val="18"/>
                <w:szCs w:val="18"/>
                <w:highlight w:val="none"/>
                <w:lang w:bidi="ar"/>
              </w:rPr>
            </w:pPr>
          </w:p>
        </w:tc>
      </w:tr>
      <w:tr>
        <w:tblPrEx>
          <w:tblCellMar>
            <w:top w:w="0" w:type="dxa"/>
            <w:left w:w="108" w:type="dxa"/>
            <w:bottom w:w="0" w:type="dxa"/>
            <w:right w:w="108" w:type="dxa"/>
          </w:tblCellMar>
        </w:tblPrEx>
        <w:trPr>
          <w:jc w:val="center"/>
        </w:trPr>
        <w:tc>
          <w:tcPr>
            <w:tcW w:w="659" w:type="dxa"/>
            <w:tcBorders>
              <w:top w:val="single" w:color="000000" w:sz="8"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26</w:t>
            </w:r>
          </w:p>
        </w:tc>
        <w:tc>
          <w:tcPr>
            <w:tcW w:w="1080" w:type="dxa"/>
            <w:vMerge w:val="restart"/>
            <w:tcBorders>
              <w:top w:val="single" w:color="000000" w:sz="8"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6  创新能力</w:t>
            </w:r>
          </w:p>
        </w:tc>
        <w:tc>
          <w:tcPr>
            <w:tcW w:w="1308" w:type="dxa"/>
            <w:vMerge w:val="restart"/>
            <w:tcBorders>
              <w:top w:val="single" w:color="000000" w:sz="8"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6.1  创新能力</w:t>
            </w:r>
          </w:p>
        </w:tc>
        <w:tc>
          <w:tcPr>
            <w:tcW w:w="5059" w:type="dxa"/>
            <w:tcBorders>
              <w:top w:val="single" w:color="000000" w:sz="8"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6.1.1  重视技术创新和知识产权保护，取得发明专利。</w:t>
            </w:r>
          </w:p>
        </w:tc>
        <w:tc>
          <w:tcPr>
            <w:tcW w:w="1044" w:type="dxa"/>
            <w:tcBorders>
              <w:top w:val="single" w:color="000000" w:sz="8"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15</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27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6.1.2  在组织内建立鼓励创新的制度，包括：倡导创新的文化、对创新成果奖励等。</w:t>
            </w:r>
          </w:p>
        </w:tc>
        <w:tc>
          <w:tcPr>
            <w:tcW w:w="1044"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15</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28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6.1.3  加强与相关科研院所开展科技创新和成果转化的合作，完善企业创新基础能力，并取得成果。如在企业中设立包括但不限于联合研发中心、博士后工作站、技术转移中心、合作实验室、协同创新中心、院士工作站等</w:t>
            </w:r>
            <w:r>
              <w:rPr>
                <w:rFonts w:hint="eastAsia" w:cs="Times New Roman"/>
                <w:color w:val="auto"/>
                <w:kern w:val="0"/>
                <w:sz w:val="18"/>
                <w:szCs w:val="18"/>
                <w:highlight w:val="none"/>
                <w:lang w:eastAsia="zh-CN" w:bidi="ar"/>
              </w:rPr>
              <w:t>机构</w:t>
            </w:r>
            <w:r>
              <w:rPr>
                <w:rFonts w:hint="default" w:ascii="Times New Roman" w:hAnsi="Times New Roman" w:cs="Times New Roman"/>
                <w:color w:val="auto"/>
                <w:kern w:val="0"/>
                <w:sz w:val="18"/>
                <w:szCs w:val="18"/>
                <w:highlight w:val="none"/>
                <w:lang w:bidi="ar"/>
              </w:rPr>
              <w:t>，或取得高新技术企业、专精特新“小巨人”等称号。</w:t>
            </w:r>
          </w:p>
        </w:tc>
        <w:tc>
          <w:tcPr>
            <w:tcW w:w="1044"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29</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7  数字化建设</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7.1  数字化建设</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7.1.1  推动生产过程智能化，包括设备自动化、生产线自动化、仓储自动化等。</w:t>
            </w:r>
          </w:p>
        </w:tc>
        <w:tc>
          <w:tcPr>
            <w:tcW w:w="1044"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20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30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7.1.2  开展全面的信息化管理，包括生产计划、工艺流程、质量控制等方面的信息化处理。</w:t>
            </w:r>
          </w:p>
        </w:tc>
        <w:tc>
          <w:tcPr>
            <w:tcW w:w="1044"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31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8  绿色发展</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8.1  绿色发展</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8.1.1  导入清洁生产管理，通过清洁生产评价。</w:t>
            </w:r>
          </w:p>
        </w:tc>
        <w:tc>
          <w:tcPr>
            <w:tcW w:w="1044"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15</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32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8.1.</w:t>
            </w:r>
            <w:r>
              <w:rPr>
                <w:rFonts w:hint="default" w:ascii="Times New Roman" w:hAnsi="Times New Roman" w:cs="Times New Roman"/>
                <w:color w:val="auto"/>
                <w:kern w:val="0"/>
                <w:sz w:val="18"/>
                <w:szCs w:val="18"/>
                <w:highlight w:val="none"/>
                <w:lang w:val="en-US" w:eastAsia="zh-CN" w:bidi="ar"/>
              </w:rPr>
              <w:t>2</w:t>
            </w:r>
            <w:r>
              <w:rPr>
                <w:rFonts w:hint="default" w:ascii="Times New Roman" w:hAnsi="Times New Roman" w:cs="Times New Roman"/>
                <w:color w:val="auto"/>
                <w:kern w:val="0"/>
                <w:sz w:val="18"/>
                <w:szCs w:val="18"/>
                <w:highlight w:val="none"/>
                <w:lang w:bidi="ar"/>
              </w:rPr>
              <w:t xml:space="preserve">  改善用能结构，使用清洁能源，减少石化能源的使用，如光伏发电等。</w:t>
            </w:r>
          </w:p>
        </w:tc>
        <w:tc>
          <w:tcPr>
            <w:tcW w:w="1044"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15</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33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9  社会责任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9.1  社会责任</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9.1.1  企业积极参与公益</w:t>
            </w:r>
            <w:r>
              <w:rPr>
                <w:rFonts w:hint="eastAsia" w:cs="Times New Roman"/>
                <w:color w:val="auto"/>
                <w:kern w:val="0"/>
                <w:sz w:val="18"/>
                <w:szCs w:val="18"/>
                <w:highlight w:val="none"/>
                <w:lang w:eastAsia="zh-CN" w:bidi="ar"/>
              </w:rPr>
              <w:t>活动、社区服务</w:t>
            </w:r>
            <w:r>
              <w:rPr>
                <w:rFonts w:hint="default" w:ascii="Times New Roman" w:hAnsi="Times New Roman" w:cs="Times New Roman"/>
                <w:color w:val="auto"/>
                <w:kern w:val="0"/>
                <w:sz w:val="18"/>
                <w:szCs w:val="18"/>
                <w:highlight w:val="none"/>
                <w:lang w:bidi="ar"/>
              </w:rPr>
              <w:t>，支持</w:t>
            </w:r>
            <w:r>
              <w:rPr>
                <w:rFonts w:hint="eastAsia" w:cs="Times New Roman"/>
                <w:color w:val="auto"/>
                <w:kern w:val="0"/>
                <w:sz w:val="18"/>
                <w:szCs w:val="18"/>
                <w:highlight w:val="none"/>
                <w:lang w:eastAsia="zh-CN" w:bidi="ar"/>
              </w:rPr>
              <w:t>公共基础设施建设以及</w:t>
            </w:r>
            <w:r>
              <w:rPr>
                <w:rFonts w:hint="default" w:ascii="Times New Roman" w:hAnsi="Times New Roman" w:cs="Times New Roman"/>
                <w:color w:val="auto"/>
                <w:kern w:val="0"/>
                <w:sz w:val="18"/>
                <w:szCs w:val="18"/>
                <w:highlight w:val="none"/>
                <w:lang w:bidi="ar"/>
              </w:rPr>
              <w:t>教育、文化、体育等事业的发展。</w:t>
            </w:r>
          </w:p>
        </w:tc>
        <w:tc>
          <w:tcPr>
            <w:tcW w:w="1044"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15</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34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9.1.2  发布社会责任报告或ESG报告。</w:t>
            </w:r>
          </w:p>
        </w:tc>
        <w:tc>
          <w:tcPr>
            <w:tcW w:w="1044"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15</w:t>
            </w:r>
          </w:p>
        </w:tc>
      </w:tr>
      <w:tr>
        <w:tblPrEx>
          <w:tblCellMar>
            <w:top w:w="0" w:type="dxa"/>
            <w:left w:w="108" w:type="dxa"/>
            <w:bottom w:w="0" w:type="dxa"/>
            <w:right w:w="108" w:type="dxa"/>
          </w:tblCellMar>
        </w:tblPrEx>
        <w:trPr>
          <w:trHeight w:val="468" w:hRule="atLeast"/>
          <w:jc w:val="center"/>
        </w:trPr>
        <w:tc>
          <w:tcPr>
            <w:tcW w:w="8106" w:type="dxa"/>
            <w:gridSpan w:val="4"/>
            <w:tcBorders>
              <w:top w:val="single" w:color="000000" w:sz="4"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合计</w:t>
            </w:r>
          </w:p>
        </w:tc>
        <w:tc>
          <w:tcPr>
            <w:tcW w:w="1044" w:type="dxa"/>
            <w:tcBorders>
              <w:top w:val="single" w:color="000000" w:sz="4" w:space="0"/>
              <w:left w:val="single" w:color="000000" w:sz="4" w:space="0"/>
              <w:bottom w:val="single" w:color="000000" w:sz="8" w:space="0"/>
              <w:right w:val="single" w:color="000000" w:sz="8" w:space="0"/>
            </w:tcBorders>
            <w:noWrap w:val="0"/>
            <w:vAlign w:val="center"/>
          </w:tcPr>
          <w:p>
            <w:pPr>
              <w:widowControl/>
              <w:snapToGrid w:val="0"/>
              <w:jc w:val="center"/>
              <w:textAlignment w:val="center"/>
              <w:rPr>
                <w:rFonts w:hint="default" w:ascii="Times New Roman" w:hAnsi="Times New Roman" w:eastAsia="黑体" w:cs="Times New Roman"/>
                <w:color w:val="auto"/>
                <w:kern w:val="0"/>
                <w:sz w:val="18"/>
                <w:szCs w:val="18"/>
                <w:highlight w:val="none"/>
                <w:lang w:val="en-US" w:eastAsia="zh-CN" w:bidi="ar"/>
              </w:rPr>
            </w:pPr>
            <w:r>
              <w:rPr>
                <w:rFonts w:hint="default" w:ascii="Times New Roman" w:hAnsi="Times New Roman" w:eastAsia="黑体" w:cs="Times New Roman"/>
                <w:color w:val="auto"/>
                <w:kern w:val="0"/>
                <w:sz w:val="18"/>
                <w:szCs w:val="18"/>
                <w:highlight w:val="none"/>
                <w:lang w:val="en-US" w:eastAsia="zh-CN" w:bidi="ar"/>
              </w:rPr>
              <w:t>800</w:t>
            </w:r>
          </w:p>
        </w:tc>
      </w:tr>
    </w:tbl>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br w:type="page"/>
      </w:r>
    </w:p>
    <w:p>
      <w:pPr>
        <w:pStyle w:val="66"/>
        <w:numPr>
          <w:ilvl w:val="2"/>
          <w:numId w:val="0"/>
        </w:num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附 录 B</w:t>
      </w:r>
    </w:p>
    <w:p>
      <w:pPr>
        <w:pStyle w:val="66"/>
        <w:numPr>
          <w:ilvl w:val="2"/>
          <w:numId w:val="0"/>
        </w:num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(规范性)</w:t>
      </w:r>
    </w:p>
    <w:p>
      <w:pPr>
        <w:pStyle w:val="66"/>
        <w:numPr>
          <w:ilvl w:val="2"/>
          <w:numId w:val="0"/>
        </w:numPr>
        <w:snapToGrid w:val="0"/>
        <w:spacing w:after="283"/>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工业品现场评价指标及评价要求</w:t>
      </w:r>
    </w:p>
    <w:p>
      <w:pPr>
        <w:pStyle w:val="66"/>
        <w:numPr>
          <w:ilvl w:val="2"/>
          <w:numId w:val="0"/>
        </w:numPr>
        <w:ind w:firstLine="42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工业品现场评价指标、评价要求及分值见表B.1。</w:t>
      </w:r>
    </w:p>
    <w:p>
      <w:pPr>
        <w:pStyle w:val="66"/>
        <w:numPr>
          <w:ilvl w:val="2"/>
          <w:numId w:val="0"/>
        </w:numPr>
        <w:spacing w:before="156" w:beforeLines="50" w:after="156" w:afterLines="50"/>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表 B.1 </w:t>
      </w:r>
      <w:r>
        <w:rPr>
          <w:rFonts w:hint="default" w:ascii="Times New Roman" w:hAnsi="Times New Roman" w:eastAsia="黑体" w:cs="Times New Roman"/>
          <w:color w:val="auto"/>
          <w:highlight w:val="none"/>
          <w:lang w:eastAsia="zh-CN"/>
        </w:rPr>
        <w:t>工业品</w:t>
      </w:r>
      <w:r>
        <w:rPr>
          <w:rFonts w:hint="default" w:ascii="Times New Roman" w:hAnsi="Times New Roman" w:eastAsia="黑体" w:cs="Times New Roman"/>
          <w:color w:val="auto"/>
          <w:highlight w:val="none"/>
        </w:rPr>
        <w:t>现场评价指标及评价要求</w:t>
      </w:r>
    </w:p>
    <w:tbl>
      <w:tblPr>
        <w:tblStyle w:val="32"/>
        <w:tblW w:w="9152" w:type="dxa"/>
        <w:jc w:val="center"/>
        <w:tblLayout w:type="autofit"/>
        <w:tblCellMar>
          <w:top w:w="0" w:type="dxa"/>
          <w:left w:w="108" w:type="dxa"/>
          <w:bottom w:w="0" w:type="dxa"/>
          <w:right w:w="108" w:type="dxa"/>
        </w:tblCellMar>
      </w:tblPr>
      <w:tblGrid>
        <w:gridCol w:w="705"/>
        <w:gridCol w:w="1080"/>
        <w:gridCol w:w="6085"/>
        <w:gridCol w:w="1282"/>
      </w:tblGrid>
      <w:tr>
        <w:tblPrEx>
          <w:tblCellMar>
            <w:top w:w="0" w:type="dxa"/>
            <w:left w:w="108" w:type="dxa"/>
            <w:bottom w:w="0" w:type="dxa"/>
            <w:right w:w="108" w:type="dxa"/>
          </w:tblCellMar>
        </w:tblPrEx>
        <w:trPr>
          <w:trHeight w:val="512" w:hRule="atLeast"/>
          <w:jc w:val="center"/>
        </w:trPr>
        <w:tc>
          <w:tcPr>
            <w:tcW w:w="705" w:type="dxa"/>
            <w:tcBorders>
              <w:top w:val="single" w:color="000000" w:sz="8"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序号</w:t>
            </w:r>
          </w:p>
        </w:tc>
        <w:tc>
          <w:tcPr>
            <w:tcW w:w="1080"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指标名称</w:t>
            </w:r>
          </w:p>
        </w:tc>
        <w:tc>
          <w:tcPr>
            <w:tcW w:w="6085" w:type="dxa"/>
            <w:tcBorders>
              <w:top w:val="single" w:color="000000" w:sz="8" w:space="0"/>
              <w:left w:val="single" w:color="000000" w:sz="4"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评价要求</w:t>
            </w:r>
          </w:p>
        </w:tc>
        <w:tc>
          <w:tcPr>
            <w:tcW w:w="1282" w:type="dxa"/>
            <w:tcBorders>
              <w:top w:val="single" w:color="000000" w:sz="8" w:space="0"/>
              <w:left w:val="single" w:color="000000" w:sz="4" w:space="0"/>
              <w:bottom w:val="single" w:color="000000" w:sz="8"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单项分值</w:t>
            </w:r>
          </w:p>
        </w:tc>
      </w:tr>
      <w:tr>
        <w:tblPrEx>
          <w:tblCellMar>
            <w:top w:w="0" w:type="dxa"/>
            <w:left w:w="108" w:type="dxa"/>
            <w:bottom w:w="0" w:type="dxa"/>
            <w:right w:w="108" w:type="dxa"/>
          </w:tblCellMar>
        </w:tblPrEx>
        <w:trPr>
          <w:jc w:val="center"/>
        </w:trPr>
        <w:tc>
          <w:tcPr>
            <w:tcW w:w="705" w:type="dxa"/>
            <w:tcBorders>
              <w:top w:val="single" w:color="000000" w:sz="8"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w:t>
            </w:r>
          </w:p>
        </w:tc>
        <w:tc>
          <w:tcPr>
            <w:tcW w:w="1080" w:type="dxa"/>
            <w:vMerge w:val="restart"/>
            <w:tcBorders>
              <w:top w:val="single" w:color="000000" w:sz="8" w:space="0"/>
              <w:left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  生产现场</w:t>
            </w:r>
          </w:p>
        </w:tc>
        <w:tc>
          <w:tcPr>
            <w:tcW w:w="6085" w:type="dxa"/>
            <w:tcBorders>
              <w:top w:val="single" w:color="000000" w:sz="8"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1.1  生产现场保持有效版本的技术文件，包括但不限于：作业指导书、工艺流程图等。</w:t>
            </w:r>
          </w:p>
        </w:tc>
        <w:tc>
          <w:tcPr>
            <w:tcW w:w="1282" w:type="dxa"/>
            <w:tcBorders>
              <w:top w:val="single" w:color="000000" w:sz="8"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w:t>
            </w:r>
          </w:p>
        </w:tc>
        <w:tc>
          <w:tcPr>
            <w:tcW w:w="1080" w:type="dxa"/>
            <w:vMerge w:val="continue"/>
            <w:tcBorders>
              <w:left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1.2  对生产现场的物料、半成品、成品等实施有效防护，包括：标识、堆放、搬运等。</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3</w:t>
            </w:r>
          </w:p>
        </w:tc>
        <w:tc>
          <w:tcPr>
            <w:tcW w:w="1080" w:type="dxa"/>
            <w:vMerge w:val="continue"/>
            <w:tcBorders>
              <w:left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1.3  对生产现场的不合格品实施管理，防止误用，包括但不限于标识、隔离、处置等措施，保持处置记录。</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15</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4</w:t>
            </w:r>
          </w:p>
        </w:tc>
        <w:tc>
          <w:tcPr>
            <w:tcW w:w="1080" w:type="dxa"/>
            <w:vMerge w:val="continue"/>
            <w:tcBorders>
              <w:left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1.4  对生产现场工作环境实施管理，保留与产品特性有关的环境要求记录。（工作环境有特定要求的，如有微生物限量要求，洁净环境、温湿度要求等，保持定期监测记录）。</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eastAsia="zh-CN" w:bidi="ar"/>
              </w:rPr>
            </w:pPr>
            <w:r>
              <w:rPr>
                <w:rFonts w:hint="default" w:ascii="Times New Roman" w:hAnsi="Times New Roman" w:cs="Times New Roman"/>
                <w:color w:val="auto"/>
                <w:kern w:val="0"/>
                <w:sz w:val="18"/>
                <w:szCs w:val="18"/>
                <w:highlight w:val="none"/>
                <w:lang w:val="en-US" w:eastAsia="zh-CN" w:bidi="ar"/>
              </w:rPr>
              <w:t>5</w:t>
            </w:r>
          </w:p>
        </w:tc>
        <w:tc>
          <w:tcPr>
            <w:tcW w:w="1080" w:type="dxa"/>
            <w:vMerge w:val="continue"/>
            <w:tcBorders>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w:t>
            </w:r>
            <w:r>
              <w:rPr>
                <w:rFonts w:hint="default" w:ascii="Times New Roman" w:hAnsi="Times New Roman" w:cs="Times New Roman"/>
                <w:color w:val="auto"/>
                <w:kern w:val="0"/>
                <w:sz w:val="18"/>
                <w:szCs w:val="18"/>
                <w:highlight w:val="none"/>
                <w:lang w:val="en-US" w:eastAsia="zh-CN" w:bidi="ar"/>
              </w:rPr>
              <w:t>5</w:t>
            </w:r>
            <w:r>
              <w:rPr>
                <w:rFonts w:hint="default" w:ascii="Times New Roman" w:hAnsi="Times New Roman" w:cs="Times New Roman"/>
                <w:color w:val="auto"/>
                <w:kern w:val="0"/>
                <w:sz w:val="18"/>
                <w:szCs w:val="18"/>
                <w:highlight w:val="none"/>
                <w:lang w:bidi="ar"/>
              </w:rPr>
              <w:t xml:space="preserve">  应建立设施设备档案、清单，保留设施设备保养、维护记录。</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kern w:val="0"/>
                <w:sz w:val="18"/>
                <w:szCs w:val="18"/>
                <w:highlight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  仓储现场</w:t>
            </w: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2.1  有明确的仓储环境控制要求，如温度、湿度等，并进行定期检查。</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kern w:val="0"/>
                <w:sz w:val="18"/>
                <w:szCs w:val="18"/>
                <w:highlight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w:t>
            </w:r>
            <w:r>
              <w:rPr>
                <w:rFonts w:hint="default" w:ascii="Times New Roman" w:hAnsi="Times New Roman" w:cs="Times New Roman"/>
                <w:color w:val="auto"/>
                <w:kern w:val="0"/>
                <w:sz w:val="18"/>
                <w:szCs w:val="18"/>
                <w:highlight w:val="none"/>
                <w:lang w:val="en-US" w:eastAsia="zh-CN" w:bidi="ar"/>
              </w:rPr>
              <w:t>2</w:t>
            </w:r>
            <w:r>
              <w:rPr>
                <w:rFonts w:hint="default" w:ascii="Times New Roman" w:hAnsi="Times New Roman" w:cs="Times New Roman"/>
                <w:color w:val="auto"/>
                <w:kern w:val="0"/>
                <w:sz w:val="18"/>
                <w:szCs w:val="18"/>
                <w:highlight w:val="none"/>
                <w:lang w:bidi="ar"/>
              </w:rPr>
              <w:t xml:space="preserve">  保持出入库台账，实施先进先出管理。</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kern w:val="0"/>
                <w:sz w:val="18"/>
                <w:szCs w:val="18"/>
                <w:highlight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w:t>
            </w:r>
            <w:r>
              <w:rPr>
                <w:rFonts w:hint="default" w:ascii="Times New Roman" w:hAnsi="Times New Roman" w:cs="Times New Roman"/>
                <w:color w:val="auto"/>
                <w:kern w:val="0"/>
                <w:sz w:val="18"/>
                <w:szCs w:val="18"/>
                <w:highlight w:val="none"/>
                <w:lang w:val="en-US" w:eastAsia="zh-CN" w:bidi="ar"/>
              </w:rPr>
              <w:t>3</w:t>
            </w:r>
            <w:r>
              <w:rPr>
                <w:rFonts w:hint="default" w:ascii="Times New Roman" w:hAnsi="Times New Roman" w:cs="Times New Roman"/>
                <w:color w:val="auto"/>
                <w:kern w:val="0"/>
                <w:sz w:val="18"/>
                <w:szCs w:val="18"/>
                <w:highlight w:val="none"/>
                <w:lang w:bidi="ar"/>
              </w:rPr>
              <w:t xml:space="preserve">  仓存品有适当的标识，如追溯性标识等。</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kern w:val="0"/>
                <w:sz w:val="18"/>
                <w:szCs w:val="18"/>
                <w:highlight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w:t>
            </w:r>
            <w:r>
              <w:rPr>
                <w:rFonts w:hint="default" w:ascii="Times New Roman" w:hAnsi="Times New Roman" w:cs="Times New Roman"/>
                <w:color w:val="auto"/>
                <w:kern w:val="0"/>
                <w:sz w:val="18"/>
                <w:szCs w:val="18"/>
                <w:highlight w:val="none"/>
                <w:lang w:val="en-US" w:eastAsia="zh-CN" w:bidi="ar"/>
              </w:rPr>
              <w:t>4</w:t>
            </w:r>
            <w:r>
              <w:rPr>
                <w:rFonts w:hint="default" w:ascii="Times New Roman" w:hAnsi="Times New Roman" w:cs="Times New Roman"/>
                <w:color w:val="auto"/>
                <w:kern w:val="0"/>
                <w:sz w:val="18"/>
                <w:szCs w:val="18"/>
                <w:highlight w:val="none"/>
                <w:lang w:bidi="ar"/>
              </w:rPr>
              <w:t xml:space="preserve">  对仓存品实施有效防护，包括防潮霉、防虫鼠、离地离墙堆放、限制堆高等。</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15</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3  检验现场</w:t>
            </w: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3.1  应对用于产品检验的监视和测量设备实施校准管理，包括建立校准清单，制定校准实施计划，保留校准证据。</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3.2  对检验用标准样品实施管理，有明确的标识。</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3.3  保留采购（含外发）的原材料、半成品、辅料、化学品等检验或验证记录，记录应明确检验和验证依据、抽样准则、结果判定等信息。</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3.</w:t>
            </w:r>
            <w:r>
              <w:rPr>
                <w:rFonts w:hint="default" w:ascii="Times New Roman" w:hAnsi="Times New Roman" w:cs="Times New Roman"/>
                <w:color w:val="auto"/>
                <w:kern w:val="0"/>
                <w:sz w:val="18"/>
                <w:szCs w:val="18"/>
                <w:highlight w:val="none"/>
                <w:lang w:val="en-US" w:eastAsia="zh-CN" w:bidi="ar"/>
              </w:rPr>
              <w:t>4</w:t>
            </w:r>
            <w:r>
              <w:rPr>
                <w:rFonts w:hint="default" w:ascii="Times New Roman" w:hAnsi="Times New Roman" w:cs="Times New Roman"/>
                <w:color w:val="auto"/>
                <w:kern w:val="0"/>
                <w:sz w:val="18"/>
                <w:szCs w:val="18"/>
                <w:highlight w:val="none"/>
                <w:lang w:bidi="ar"/>
              </w:rPr>
              <w:t xml:space="preserve">  保留成品检验记录，记录应明确检验和验证依据、抽样准则、结果判定等信息。</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cs="Times New Roman"/>
                <w:color w:val="auto"/>
                <w:sz w:val="18"/>
                <w:szCs w:val="18"/>
                <w:highlight w:val="none"/>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3.</w:t>
            </w:r>
            <w:r>
              <w:rPr>
                <w:rFonts w:hint="default" w:ascii="Times New Roman" w:hAnsi="Times New Roman" w:cs="Times New Roman"/>
                <w:color w:val="auto"/>
                <w:kern w:val="0"/>
                <w:sz w:val="18"/>
                <w:szCs w:val="18"/>
                <w:highlight w:val="none"/>
                <w:lang w:val="en-US" w:eastAsia="zh-CN" w:bidi="ar"/>
              </w:rPr>
              <w:t>5</w:t>
            </w:r>
            <w:r>
              <w:rPr>
                <w:rFonts w:hint="default" w:ascii="Times New Roman" w:hAnsi="Times New Roman" w:cs="Times New Roman"/>
                <w:color w:val="auto"/>
                <w:kern w:val="0"/>
                <w:sz w:val="18"/>
                <w:szCs w:val="18"/>
                <w:highlight w:val="none"/>
                <w:lang w:bidi="ar"/>
              </w:rPr>
              <w:t xml:space="preserve">  保留进料、过程、成品检验实施中发生的不合格品记录，记录应包括不合格品的描述、原因分析、改进措施等信息。</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trHeight w:val="512" w:hRule="atLeast"/>
          <w:jc w:val="center"/>
        </w:trPr>
        <w:tc>
          <w:tcPr>
            <w:tcW w:w="787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合计</w:t>
            </w:r>
          </w:p>
        </w:tc>
        <w:tc>
          <w:tcPr>
            <w:tcW w:w="1282" w:type="dxa"/>
            <w:tcBorders>
              <w:top w:val="single" w:color="000000" w:sz="4" w:space="0"/>
              <w:left w:val="single" w:color="000000" w:sz="4" w:space="0"/>
              <w:bottom w:val="single" w:color="000000" w:sz="8" w:space="0"/>
              <w:right w:val="single" w:color="000000" w:sz="8" w:space="0"/>
            </w:tcBorders>
            <w:noWrap w:val="0"/>
            <w:vAlign w:val="center"/>
          </w:tcPr>
          <w:p>
            <w:pPr>
              <w:widowControl/>
              <w:snapToGrid w:val="0"/>
              <w:jc w:val="center"/>
              <w:textAlignment w:val="center"/>
              <w:rPr>
                <w:rFonts w:hint="default" w:ascii="Times New Roman" w:hAnsi="Times New Roman" w:eastAsia="黑体" w:cs="Times New Roman"/>
                <w:color w:val="auto"/>
                <w:kern w:val="0"/>
                <w:sz w:val="18"/>
                <w:szCs w:val="18"/>
                <w:highlight w:val="none"/>
                <w:lang w:val="en-US" w:eastAsia="zh-CN" w:bidi="ar"/>
              </w:rPr>
            </w:pPr>
            <w:r>
              <w:rPr>
                <w:rFonts w:hint="default" w:ascii="Times New Roman" w:hAnsi="Times New Roman" w:eastAsia="黑体" w:cs="Times New Roman"/>
                <w:color w:val="auto"/>
                <w:kern w:val="0"/>
                <w:sz w:val="18"/>
                <w:szCs w:val="18"/>
                <w:highlight w:val="none"/>
                <w:lang w:val="en-US" w:eastAsia="zh-CN" w:bidi="ar"/>
              </w:rPr>
              <w:t>200</w:t>
            </w:r>
          </w:p>
        </w:tc>
      </w:tr>
    </w:tbl>
    <w:p>
      <w:pPr>
        <w:pStyle w:val="132"/>
        <w:framePr w:hSpace="0" w:vSpace="0" w:wrap="auto" w:vAnchor="margin" w:hAnchor="text" w:xAlign="left" w:yAlign="inline"/>
        <w:rPr>
          <w:rFonts w:hint="default" w:ascii="Times New Roman" w:hAnsi="Times New Roman" w:cs="Times New Roman"/>
          <w:color w:val="auto"/>
          <w:highlight w:val="none"/>
        </w:rPr>
      </w:pPr>
    </w:p>
    <w:p>
      <w:pPr>
        <w:pStyle w:val="132"/>
        <w:framePr w:hSpace="0" w:vSpace="0" w:wrap="auto" w:vAnchor="margin" w:hAnchor="text" w:xAlign="left" w:yAlign="inline"/>
        <w:rPr>
          <w:rFonts w:hint="default" w:ascii="Times New Roman" w:hAnsi="Times New Roman" w:cs="Times New Roman"/>
          <w:color w:val="auto"/>
          <w:highlight w:val="none"/>
        </w:rPr>
      </w:pPr>
    </w:p>
    <w:p>
      <w:pPr>
        <w:pStyle w:val="132"/>
        <w:framePr w:hSpace="0" w:vSpace="0" w:wrap="auto" w:vAnchor="margin" w:hAnchor="text" w:xAlign="left" w:yAlign="inline"/>
        <w:rPr>
          <w:rFonts w:hint="default" w:ascii="Times New Roman" w:hAnsi="Times New Roman" w:cs="Times New Roman"/>
          <w:color w:val="auto"/>
          <w:highlight w:val="none"/>
        </w:rPr>
      </w:pPr>
    </w:p>
    <w:p>
      <w:pPr>
        <w:pStyle w:val="132"/>
        <w:framePr w:hSpace="0" w:vSpace="0" w:wrap="auto" w:vAnchor="margin" w:hAnchor="text" w:xAlign="left" w:yAlign="inline"/>
        <w:rPr>
          <w:rFonts w:hint="default" w:ascii="Times New Roman" w:hAnsi="Times New Roman" w:cs="Times New Roman"/>
          <w:color w:val="auto"/>
          <w:highlight w:val="none"/>
        </w:rPr>
      </w:pPr>
    </w:p>
    <w:p>
      <w:pPr>
        <w:pStyle w:val="132"/>
        <w:framePr w:hSpace="0" w:vSpace="0" w:wrap="auto" w:vAnchor="margin" w:hAnchor="text" w:xAlign="left" w:yAlign="inline"/>
        <w:rPr>
          <w:rFonts w:hint="default" w:ascii="Times New Roman" w:hAnsi="Times New Roman" w:cs="Times New Roman"/>
          <w:color w:val="auto"/>
          <w:highlight w:val="none"/>
        </w:rPr>
      </w:pPr>
    </w:p>
    <w:p>
      <w:pPr>
        <w:pStyle w:val="132"/>
        <w:framePr w:hSpace="0" w:vSpace="0" w:wrap="auto" w:vAnchor="margin" w:hAnchor="text" w:xAlign="left" w:yAlign="inline"/>
        <w:rPr>
          <w:rFonts w:hint="default" w:ascii="Times New Roman" w:hAnsi="Times New Roman" w:cs="Times New Roman"/>
          <w:color w:val="auto"/>
          <w:highlight w:val="none"/>
        </w:rPr>
      </w:pPr>
    </w:p>
    <w:p>
      <w:pPr>
        <w:pStyle w:val="132"/>
        <w:framePr w:hSpace="0" w:vSpace="0" w:wrap="auto" w:vAnchor="margin" w:hAnchor="text" w:xAlign="left" w:yAlign="inline"/>
        <w:rPr>
          <w:rFonts w:hint="default" w:ascii="Times New Roman" w:hAnsi="Times New Roman"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br w:type="page"/>
      </w:r>
    </w:p>
    <w:p>
      <w:pPr>
        <w:pStyle w:val="66"/>
        <w:numPr>
          <w:ilvl w:val="2"/>
          <w:numId w:val="0"/>
        </w:numPr>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附 录</w:t>
      </w:r>
      <w:r>
        <w:rPr>
          <w:rFonts w:hint="default" w:ascii="Times New Roman" w:hAnsi="Times New Roman" w:eastAsia="黑体" w:cs="Times New Roman"/>
          <w:color w:val="auto"/>
          <w:highlight w:val="none"/>
          <w:lang w:val="en-US" w:eastAsia="zh-CN"/>
        </w:rPr>
        <w:t>C</w:t>
      </w:r>
    </w:p>
    <w:p>
      <w:pPr>
        <w:pStyle w:val="66"/>
        <w:numPr>
          <w:ilvl w:val="2"/>
          <w:numId w:val="0"/>
        </w:num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(规范性)</w:t>
      </w:r>
    </w:p>
    <w:p>
      <w:pPr>
        <w:pStyle w:val="66"/>
        <w:numPr>
          <w:ilvl w:val="2"/>
          <w:numId w:val="0"/>
        </w:numPr>
        <w:snapToGrid w:val="0"/>
        <w:spacing w:after="283"/>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农产品</w:t>
      </w:r>
      <w:r>
        <w:rPr>
          <w:rFonts w:hint="default" w:ascii="Times New Roman" w:hAnsi="Times New Roman" w:eastAsia="黑体" w:cs="Times New Roman"/>
          <w:color w:val="auto"/>
          <w:highlight w:val="none"/>
        </w:rPr>
        <w:t>资料评价指标及评价要求</w:t>
      </w:r>
    </w:p>
    <w:p>
      <w:pPr>
        <w:pStyle w:val="66"/>
        <w:numPr>
          <w:ilvl w:val="2"/>
          <w:numId w:val="0"/>
        </w:numPr>
        <w:ind w:firstLine="42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农产品</w:t>
      </w:r>
      <w:r>
        <w:rPr>
          <w:rFonts w:hint="default" w:ascii="Times New Roman" w:hAnsi="Times New Roman" w:cs="Times New Roman"/>
          <w:color w:val="auto"/>
          <w:highlight w:val="none"/>
        </w:rPr>
        <w:t>资料评价指标、评价要求及分值见表</w:t>
      </w:r>
      <w:r>
        <w:rPr>
          <w:rFonts w:hint="default" w:ascii="Times New Roman" w:hAnsi="Times New Roman" w:cs="Times New Roman"/>
          <w:color w:val="auto"/>
          <w:highlight w:val="none"/>
          <w:lang w:val="en-US" w:eastAsia="zh-CN"/>
        </w:rPr>
        <w:t>C</w:t>
      </w:r>
      <w:r>
        <w:rPr>
          <w:rFonts w:hint="default" w:ascii="Times New Roman" w:hAnsi="Times New Roman" w:cs="Times New Roman"/>
          <w:color w:val="auto"/>
          <w:highlight w:val="none"/>
        </w:rPr>
        <w:t>.1。</w:t>
      </w:r>
    </w:p>
    <w:p>
      <w:pPr>
        <w:pStyle w:val="66"/>
        <w:numPr>
          <w:ilvl w:val="2"/>
          <w:numId w:val="0"/>
        </w:numPr>
        <w:spacing w:before="156" w:beforeLines="50" w:after="156" w:afterLines="50"/>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表 </w:t>
      </w:r>
      <w:r>
        <w:rPr>
          <w:rFonts w:hint="default" w:ascii="Times New Roman" w:hAnsi="Times New Roman" w:eastAsia="黑体" w:cs="Times New Roman"/>
          <w:color w:val="auto"/>
          <w:highlight w:val="none"/>
          <w:lang w:val="en-US" w:eastAsia="zh-CN"/>
        </w:rPr>
        <w:t>C</w:t>
      </w:r>
      <w:r>
        <w:rPr>
          <w:rFonts w:hint="default" w:ascii="Times New Roman" w:hAnsi="Times New Roman" w:eastAsia="黑体" w:cs="Times New Roman"/>
          <w:color w:val="auto"/>
          <w:highlight w:val="none"/>
        </w:rPr>
        <w:t xml:space="preserve">.1  </w:t>
      </w:r>
      <w:r>
        <w:rPr>
          <w:rFonts w:hint="default" w:ascii="Times New Roman" w:hAnsi="Times New Roman" w:eastAsia="黑体" w:cs="Times New Roman"/>
          <w:color w:val="auto"/>
          <w:highlight w:val="none"/>
          <w:lang w:eastAsia="zh-CN"/>
        </w:rPr>
        <w:t>农产品</w:t>
      </w:r>
      <w:r>
        <w:rPr>
          <w:rFonts w:hint="default" w:ascii="Times New Roman" w:hAnsi="Times New Roman" w:eastAsia="黑体" w:cs="Times New Roman"/>
          <w:color w:val="auto"/>
          <w:highlight w:val="none"/>
        </w:rPr>
        <w:t>资料评价指标及评价要求</w:t>
      </w:r>
    </w:p>
    <w:tbl>
      <w:tblPr>
        <w:tblStyle w:val="32"/>
        <w:tblW w:w="9150" w:type="dxa"/>
        <w:jc w:val="center"/>
        <w:tblLayout w:type="fixed"/>
        <w:tblCellMar>
          <w:top w:w="0" w:type="dxa"/>
          <w:left w:w="108" w:type="dxa"/>
          <w:bottom w:w="0" w:type="dxa"/>
          <w:right w:w="108" w:type="dxa"/>
        </w:tblCellMar>
      </w:tblPr>
      <w:tblGrid>
        <w:gridCol w:w="659"/>
        <w:gridCol w:w="1080"/>
        <w:gridCol w:w="1516"/>
        <w:gridCol w:w="4619"/>
        <w:gridCol w:w="1276"/>
      </w:tblGrid>
      <w:tr>
        <w:tblPrEx>
          <w:tblCellMar>
            <w:top w:w="0" w:type="dxa"/>
            <w:left w:w="108" w:type="dxa"/>
            <w:bottom w:w="0" w:type="dxa"/>
            <w:right w:w="108" w:type="dxa"/>
          </w:tblCellMar>
        </w:tblPrEx>
        <w:trPr>
          <w:jc w:val="center"/>
        </w:trPr>
        <w:tc>
          <w:tcPr>
            <w:tcW w:w="659" w:type="dxa"/>
            <w:vMerge w:val="restart"/>
            <w:tcBorders>
              <w:top w:val="single" w:color="auto" w:sz="8" w:space="0"/>
              <w:left w:val="single" w:color="auto" w:sz="8" w:space="0"/>
              <w:bottom w:val="nil"/>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序号</w:t>
            </w:r>
          </w:p>
        </w:tc>
        <w:tc>
          <w:tcPr>
            <w:tcW w:w="2596" w:type="dxa"/>
            <w:gridSpan w:val="2"/>
            <w:tcBorders>
              <w:top w:val="single" w:color="auto" w:sz="8"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指标名称</w:t>
            </w:r>
          </w:p>
        </w:tc>
        <w:tc>
          <w:tcPr>
            <w:tcW w:w="4619" w:type="dxa"/>
            <w:vMerge w:val="restart"/>
            <w:tcBorders>
              <w:top w:val="single" w:color="auto" w:sz="8" w:space="0"/>
              <w:left w:val="single" w:color="auto" w:sz="4" w:space="0"/>
              <w:bottom w:val="single" w:color="auto" w:sz="8"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评价要求</w:t>
            </w:r>
          </w:p>
        </w:tc>
        <w:tc>
          <w:tcPr>
            <w:tcW w:w="1276" w:type="dxa"/>
            <w:vMerge w:val="restart"/>
            <w:tcBorders>
              <w:top w:val="single" w:color="auto" w:sz="8" w:space="0"/>
              <w:left w:val="single" w:color="auto" w:sz="4" w:space="0"/>
              <w:bottom w:val="single" w:color="auto" w:sz="8"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单项分值</w:t>
            </w:r>
          </w:p>
        </w:tc>
      </w:tr>
      <w:tr>
        <w:tblPrEx>
          <w:tblCellMar>
            <w:top w:w="0" w:type="dxa"/>
            <w:left w:w="108" w:type="dxa"/>
            <w:bottom w:w="0" w:type="dxa"/>
            <w:right w:w="108" w:type="dxa"/>
          </w:tblCellMar>
        </w:tblPrEx>
        <w:trPr>
          <w:jc w:val="center"/>
        </w:trPr>
        <w:tc>
          <w:tcPr>
            <w:tcW w:w="659" w:type="dxa"/>
            <w:vMerge w:val="continue"/>
            <w:tcBorders>
              <w:top w:val="nil"/>
              <w:left w:val="single" w:color="auto" w:sz="8" w:space="0"/>
              <w:bottom w:val="single" w:color="auto" w:sz="8" w:space="0"/>
              <w:right w:val="single" w:color="auto"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c>
          <w:tcPr>
            <w:tcW w:w="1080" w:type="dxa"/>
            <w:tcBorders>
              <w:top w:val="single" w:color="auto" w:sz="4" w:space="0"/>
              <w:left w:val="single" w:color="auto" w:sz="4" w:space="0"/>
              <w:bottom w:val="single" w:color="auto" w:sz="8"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一级指标</w:t>
            </w:r>
          </w:p>
        </w:tc>
        <w:tc>
          <w:tcPr>
            <w:tcW w:w="1516" w:type="dxa"/>
            <w:tcBorders>
              <w:top w:val="single" w:color="auto" w:sz="4" w:space="0"/>
              <w:left w:val="single" w:color="auto" w:sz="4" w:space="0"/>
              <w:bottom w:val="single" w:color="auto" w:sz="8"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二级指标</w:t>
            </w:r>
          </w:p>
        </w:tc>
        <w:tc>
          <w:tcPr>
            <w:tcW w:w="4619" w:type="dxa"/>
            <w:vMerge w:val="continue"/>
            <w:tcBorders>
              <w:top w:val="single" w:color="auto" w:sz="8"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c>
          <w:tcPr>
            <w:tcW w:w="1276" w:type="dxa"/>
            <w:vMerge w:val="continue"/>
            <w:tcBorders>
              <w:top w:val="single" w:color="auto" w:sz="8" w:space="0"/>
              <w:left w:val="single" w:color="auto" w:sz="4" w:space="0"/>
              <w:bottom w:val="single" w:color="auto" w:sz="4" w:space="0"/>
              <w:right w:val="single" w:color="auto" w:sz="8" w:space="0"/>
            </w:tcBorders>
            <w:noWrap w:val="0"/>
            <w:vAlign w:val="center"/>
          </w:tcPr>
          <w:p>
            <w:pPr>
              <w:snapToGrid w:val="0"/>
              <w:jc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  组织管理</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1.1  管理体系</w:t>
            </w:r>
          </w:p>
        </w:tc>
        <w:tc>
          <w:tcPr>
            <w:tcW w:w="4619" w:type="dxa"/>
            <w:tcBorders>
              <w:top w:val="single" w:color="auto" w:sz="8"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1.1.1  建立完善的企业管理体系，并保持运行和持续改进，通过相关产品或管理体系认证，如有机产品、GAP、地理标志产品、质量管理体系、食品安全管理体系等认证。</w:t>
            </w:r>
          </w:p>
        </w:tc>
        <w:tc>
          <w:tcPr>
            <w:tcW w:w="1276" w:type="dxa"/>
            <w:tcBorders>
              <w:top w:val="single" w:color="auto" w:sz="8"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80</w:t>
            </w:r>
          </w:p>
        </w:tc>
      </w:tr>
      <w:tr>
        <w:tblPrEx>
          <w:tblCellMar>
            <w:top w:w="0" w:type="dxa"/>
            <w:left w:w="108" w:type="dxa"/>
            <w:bottom w:w="0" w:type="dxa"/>
            <w:right w:w="108" w:type="dxa"/>
          </w:tblCellMar>
        </w:tblPrEx>
        <w:trPr>
          <w:trHeight w:val="90" w:hRule="atLeast"/>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 xml:space="preserve">1.2  </w:t>
            </w:r>
            <w:r>
              <w:rPr>
                <w:rFonts w:hint="eastAsia" w:cs="Times New Roman"/>
                <w:color w:val="auto"/>
                <w:kern w:val="0"/>
                <w:sz w:val="18"/>
                <w:szCs w:val="18"/>
                <w:highlight w:val="none"/>
                <w:lang w:eastAsia="zh-CN" w:bidi="ar"/>
              </w:rPr>
              <w:t>组织架构</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1.2.1  根据企业管理要求建立合适的组织架构</w:t>
            </w:r>
            <w:r>
              <w:rPr>
                <w:rFonts w:hint="default" w:ascii="Times New Roman" w:hAnsi="Times New Roman" w:eastAsia="宋体" w:cs="Times New Roman"/>
                <w:color w:val="auto"/>
                <w:kern w:val="0"/>
                <w:sz w:val="18"/>
                <w:szCs w:val="18"/>
                <w:highlight w:val="none"/>
                <w:lang w:eastAsia="zh-CN" w:bidi="ar"/>
              </w:rPr>
              <w:t>，具</w:t>
            </w:r>
            <w:r>
              <w:rPr>
                <w:rFonts w:hint="default" w:ascii="Times New Roman" w:hAnsi="Times New Roman" w:eastAsia="宋体" w:cs="Times New Roman"/>
                <w:color w:val="auto"/>
                <w:kern w:val="0"/>
                <w:sz w:val="18"/>
                <w:szCs w:val="18"/>
                <w:highlight w:val="none"/>
                <w:lang w:bidi="ar"/>
              </w:rPr>
              <w:t>有完善的组织</w:t>
            </w:r>
            <w:r>
              <w:rPr>
                <w:rFonts w:hint="default" w:ascii="Times New Roman" w:hAnsi="Times New Roman" w:eastAsia="宋体" w:cs="Times New Roman"/>
                <w:color w:val="auto"/>
                <w:kern w:val="0"/>
                <w:sz w:val="18"/>
                <w:szCs w:val="18"/>
                <w:highlight w:val="none"/>
                <w:lang w:eastAsia="zh-CN" w:bidi="ar"/>
              </w:rPr>
              <w:t>架构</w:t>
            </w:r>
            <w:r>
              <w:rPr>
                <w:rFonts w:hint="default" w:ascii="Times New Roman" w:hAnsi="Times New Roman" w:eastAsia="宋体" w:cs="Times New Roman"/>
                <w:color w:val="auto"/>
                <w:kern w:val="0"/>
                <w:sz w:val="18"/>
                <w:szCs w:val="18"/>
                <w:highlight w:val="none"/>
                <w:lang w:bidi="ar"/>
              </w:rPr>
              <w:t>图，明确管理层次，设置相应的部门和岗位。</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50</w:t>
            </w:r>
          </w:p>
        </w:tc>
      </w:tr>
      <w:tr>
        <w:tblPrEx>
          <w:tblCellMar>
            <w:top w:w="0" w:type="dxa"/>
            <w:left w:w="108" w:type="dxa"/>
            <w:bottom w:w="0" w:type="dxa"/>
            <w:right w:w="108" w:type="dxa"/>
          </w:tblCellMar>
        </w:tblPrEx>
        <w:trPr>
          <w:trHeight w:val="90" w:hRule="atLeast"/>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1.3  质量战略</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w:t>
            </w:r>
            <w:r>
              <w:rPr>
                <w:rFonts w:hint="eastAsia"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bidi="ar"/>
              </w:rPr>
              <w:t>.</w:t>
            </w:r>
            <w:r>
              <w:rPr>
                <w:rFonts w:hint="eastAsia"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 xml:space="preserve">  将质量战略纳入组织总体战略策划</w:t>
            </w:r>
            <w:r>
              <w:rPr>
                <w:rFonts w:hint="eastAsia" w:cs="Times New Roman"/>
                <w:color w:val="auto"/>
                <w:kern w:val="0"/>
                <w:sz w:val="18"/>
                <w:szCs w:val="18"/>
                <w:highlight w:val="none"/>
                <w:lang w:eastAsia="zh-CN" w:bidi="ar"/>
              </w:rPr>
              <w:t>，</w:t>
            </w:r>
            <w:r>
              <w:rPr>
                <w:rFonts w:hint="default" w:ascii="Times New Roman" w:hAnsi="Times New Roman" w:eastAsia="宋体" w:cs="Times New Roman"/>
                <w:color w:val="auto"/>
                <w:kern w:val="0"/>
                <w:sz w:val="18"/>
                <w:szCs w:val="18"/>
                <w:highlight w:val="none"/>
                <w:lang w:bidi="ar"/>
              </w:rPr>
              <w:t>制定质量方针和质量目标，并将其传达给所有员工，质量目标应可量化和适宜的。</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30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kern w:val="0"/>
                <w:sz w:val="18"/>
                <w:szCs w:val="18"/>
                <w:highlight w:val="none"/>
                <w:lang w:val="en-US" w:eastAsia="zh-CN" w:bidi="ar"/>
              </w:rPr>
              <w:t>4</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  资源管理</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2.1  人力资源管理</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2.1.1  制定和实施满足岗位要求的能力培训计划，并保留培训记录。</w:t>
            </w:r>
            <w:r>
              <w:rPr>
                <w:rFonts w:hint="default" w:ascii="Times New Roman" w:hAnsi="Times New Roman" w:eastAsia="宋体" w:cs="Times New Roman"/>
                <w:color w:val="auto"/>
                <w:kern w:val="0"/>
                <w:sz w:val="18"/>
                <w:szCs w:val="18"/>
                <w:highlight w:val="none"/>
                <w:lang w:val="en-US" w:eastAsia="zh-CN" w:bidi="ar"/>
              </w:rPr>
              <w:t>农产品生长过程的主要管理人员应具备相关的专业知识，提供专业证书或者工作经历的证明资料。</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50</w:t>
            </w:r>
          </w:p>
        </w:tc>
      </w:tr>
      <w:tr>
        <w:tblPrEx>
          <w:tblCellMar>
            <w:top w:w="0" w:type="dxa"/>
            <w:left w:w="108" w:type="dxa"/>
            <w:bottom w:w="0" w:type="dxa"/>
            <w:right w:w="108" w:type="dxa"/>
          </w:tblCellMar>
        </w:tblPrEx>
        <w:trPr>
          <w:trHeight w:val="90" w:hRule="atLeast"/>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5</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vMerge w:val="restart"/>
            <w:tcBorders>
              <w:top w:val="single" w:color="auto" w:sz="4" w:space="0"/>
              <w:left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2.2  场所管理</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2.2.1  场地内与农产品生长食品安全有关的生产用水、土壤、基质、环境等需符合相应的国家标准要求。</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2"/>
                <w:sz w:val="18"/>
                <w:szCs w:val="18"/>
                <w:highlight w:val="none"/>
                <w:lang w:val="en-US" w:eastAsia="zh-CN" w:bidi="ar-SA"/>
              </w:rPr>
              <w:t>50</w:t>
            </w:r>
          </w:p>
        </w:tc>
      </w:tr>
      <w:tr>
        <w:tblPrEx>
          <w:tblCellMar>
            <w:top w:w="0" w:type="dxa"/>
            <w:left w:w="108" w:type="dxa"/>
            <w:bottom w:w="0" w:type="dxa"/>
            <w:right w:w="108" w:type="dxa"/>
          </w:tblCellMar>
        </w:tblPrEx>
        <w:trPr>
          <w:trHeight w:val="90" w:hRule="atLeast"/>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6</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vMerge w:val="continue"/>
            <w:tcBorders>
              <w:left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2.2.2  建立对场所的的管理计划，包括但不限于场所卫生消毒清洁制度，相关卫生消毒需符合国家相应规定。</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50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w:t>
            </w:r>
            <w:r>
              <w:rPr>
                <w:rFonts w:hint="default" w:ascii="Times New Roman" w:hAnsi="Times New Roman" w:eastAsia="宋体" w:cs="Times New Roman"/>
                <w:color w:val="auto"/>
                <w:kern w:val="0"/>
                <w:sz w:val="18"/>
                <w:szCs w:val="18"/>
                <w:highlight w:val="none"/>
                <w:lang w:val="en-US" w:eastAsia="zh-CN" w:bidi="ar"/>
              </w:rPr>
              <w:t xml:space="preserve">3 </w:t>
            </w:r>
            <w:r>
              <w:rPr>
                <w:rFonts w:hint="default" w:ascii="Times New Roman" w:hAnsi="Times New Roman" w:eastAsia="宋体" w:cs="Times New Roman"/>
                <w:color w:val="auto"/>
                <w:kern w:val="0"/>
                <w:sz w:val="18"/>
                <w:szCs w:val="18"/>
                <w:highlight w:val="none"/>
                <w:lang w:bidi="ar"/>
              </w:rPr>
              <w:t xml:space="preserve"> 设施、设备管理</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2.3.1  应配备有农产品生产、加工必须的设备设施并制定管理制度。</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50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2.</w:t>
            </w:r>
            <w:r>
              <w:rPr>
                <w:rFonts w:hint="default" w:ascii="Times New Roman" w:hAnsi="Times New Roman" w:eastAsia="宋体" w:cs="Times New Roman"/>
                <w:color w:val="auto"/>
                <w:kern w:val="0"/>
                <w:sz w:val="18"/>
                <w:szCs w:val="18"/>
                <w:highlight w:val="none"/>
                <w:lang w:val="en-US" w:eastAsia="zh-CN" w:bidi="ar"/>
              </w:rPr>
              <w:t>3</w:t>
            </w:r>
            <w:r>
              <w:rPr>
                <w:rFonts w:hint="default" w:ascii="Times New Roman" w:hAnsi="Times New Roman" w:eastAsia="宋体" w:cs="Times New Roman"/>
                <w:color w:val="auto"/>
                <w:kern w:val="0"/>
                <w:sz w:val="18"/>
                <w:szCs w:val="18"/>
                <w:highlight w:val="none"/>
                <w:lang w:bidi="ar"/>
              </w:rPr>
              <w:t>.</w:t>
            </w: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 xml:space="preserve">  </w:t>
            </w:r>
            <w:r>
              <w:rPr>
                <w:rFonts w:hint="default" w:ascii="Times New Roman" w:hAnsi="Times New Roman" w:eastAsia="宋体" w:cs="Times New Roman"/>
                <w:color w:val="auto"/>
                <w:kern w:val="0"/>
                <w:sz w:val="18"/>
                <w:szCs w:val="18"/>
                <w:highlight w:val="none"/>
                <w:lang w:val="en-US" w:eastAsia="zh-CN" w:bidi="ar"/>
              </w:rPr>
              <w:t>场地应设有农产品质量检测室并配备必要的农产品质量检测人员及检测设施，制定检测计划及记录。</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9</w:t>
            </w:r>
          </w:p>
        </w:tc>
        <w:tc>
          <w:tcPr>
            <w:tcW w:w="1080" w:type="dxa"/>
            <w:vMerge w:val="restart"/>
            <w:tcBorders>
              <w:top w:val="single" w:color="auto" w:sz="4" w:space="0"/>
              <w:left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3  过程管理</w:t>
            </w:r>
          </w:p>
        </w:tc>
        <w:tc>
          <w:tcPr>
            <w:tcW w:w="15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3.1  农产品生长/收获/加工过程管理</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3.1.1  建立有文件化管理制度，对农产品的选种繁殖、生产过程建立有技术规程管理文件，包括但不限于农产品生长过程的</w:t>
            </w:r>
            <w:r>
              <w:rPr>
                <w:rFonts w:hint="default" w:ascii="Times New Roman" w:hAnsi="Times New Roman" w:eastAsia="宋体" w:cs="Times New Roman"/>
                <w:color w:val="auto"/>
                <w:kern w:val="0"/>
                <w:sz w:val="18"/>
                <w:szCs w:val="18"/>
                <w:highlight w:val="none"/>
                <w:lang w:bidi="ar"/>
              </w:rPr>
              <w:t>兽药、化学品、消毒剂、植保产品、</w:t>
            </w:r>
            <w:r>
              <w:rPr>
                <w:rFonts w:hint="default" w:ascii="Times New Roman" w:hAnsi="Times New Roman" w:eastAsia="宋体" w:cs="Times New Roman"/>
                <w:color w:val="auto"/>
                <w:kern w:val="0"/>
                <w:sz w:val="18"/>
                <w:szCs w:val="18"/>
                <w:highlight w:val="none"/>
                <w:lang w:val="en-US" w:eastAsia="zh-CN" w:bidi="ar"/>
              </w:rPr>
              <w:t>饲料、</w:t>
            </w:r>
            <w:r>
              <w:rPr>
                <w:rFonts w:hint="default" w:ascii="Times New Roman" w:hAnsi="Times New Roman" w:eastAsia="宋体" w:cs="Times New Roman"/>
                <w:color w:val="auto"/>
                <w:kern w:val="0"/>
                <w:sz w:val="18"/>
                <w:szCs w:val="18"/>
                <w:highlight w:val="none"/>
                <w:lang w:bidi="ar"/>
              </w:rPr>
              <w:t>生物杀灭剂和其他</w:t>
            </w:r>
            <w:r>
              <w:rPr>
                <w:rFonts w:hint="default" w:ascii="Times New Roman" w:hAnsi="Times New Roman" w:eastAsia="宋体" w:cs="Times New Roman"/>
                <w:color w:val="auto"/>
                <w:kern w:val="0"/>
                <w:sz w:val="18"/>
                <w:szCs w:val="18"/>
                <w:highlight w:val="none"/>
                <w:lang w:val="en-US" w:eastAsia="zh-CN" w:bidi="ar"/>
              </w:rPr>
              <w:t>投入品的管理要求、卫生控制要求。</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10</w:t>
            </w:r>
          </w:p>
        </w:tc>
        <w:tc>
          <w:tcPr>
            <w:tcW w:w="1080" w:type="dxa"/>
            <w:vMerge w:val="continue"/>
            <w:tcBorders>
              <w:left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lang w:val="en-US" w:eastAsia="zh-CN"/>
              </w:rPr>
            </w:pP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3.1.2  选择优质、抗病、适配本地环境的品种，有品种来源证明。</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11</w:t>
            </w:r>
          </w:p>
        </w:tc>
        <w:tc>
          <w:tcPr>
            <w:tcW w:w="1080" w:type="dxa"/>
            <w:vMerge w:val="continue"/>
            <w:tcBorders>
              <w:left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lang w:val="en-US" w:eastAsia="zh-CN"/>
              </w:rPr>
            </w:pP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3.1.3  农产品关键生产过程中应形成记录，包括但不限于繁种来源、药物（含动物用防疫品）、植保产品的使用等。</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12</w:t>
            </w:r>
          </w:p>
        </w:tc>
        <w:tc>
          <w:tcPr>
            <w:tcW w:w="1080" w:type="dxa"/>
            <w:vMerge w:val="continue"/>
            <w:tcBorders>
              <w:left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lang w:val="en-US" w:eastAsia="zh-CN"/>
              </w:rPr>
            </w:pP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 xml:space="preserve">1.4 </w:t>
            </w:r>
            <w:r>
              <w:rPr>
                <w:rFonts w:hint="default" w:ascii="Times New Roman" w:hAnsi="Times New Roman" w:eastAsia="宋体" w:cs="Times New Roman"/>
                <w:color w:val="auto"/>
                <w:kern w:val="0"/>
                <w:sz w:val="18"/>
                <w:szCs w:val="18"/>
                <w:highlight w:val="none"/>
                <w:lang w:bidi="ar"/>
              </w:rPr>
              <w:t xml:space="preserve"> </w:t>
            </w:r>
            <w:r>
              <w:rPr>
                <w:rFonts w:hint="default" w:ascii="Times New Roman" w:hAnsi="Times New Roman" w:eastAsia="宋体" w:cs="Times New Roman"/>
                <w:color w:val="auto"/>
                <w:kern w:val="0"/>
                <w:sz w:val="18"/>
                <w:szCs w:val="18"/>
                <w:highlight w:val="none"/>
                <w:lang w:val="en-US" w:eastAsia="zh-CN" w:bidi="ar"/>
              </w:rPr>
              <w:t>建立有农产品收获及加工过程的卫生控制要求，</w:t>
            </w:r>
            <w:r>
              <w:rPr>
                <w:rFonts w:hint="default" w:ascii="Times New Roman" w:hAnsi="Times New Roman" w:eastAsia="宋体" w:cs="Times New Roman"/>
                <w:color w:val="auto"/>
                <w:kern w:val="0"/>
                <w:sz w:val="18"/>
                <w:szCs w:val="18"/>
                <w:highlight w:val="none"/>
                <w:lang w:bidi="ar"/>
              </w:rPr>
              <w:t>内容包括但不限于：</w:t>
            </w:r>
            <w:r>
              <w:rPr>
                <w:rFonts w:hint="default" w:ascii="Times New Roman" w:hAnsi="Times New Roman" w:eastAsia="宋体" w:cs="Times New Roman"/>
                <w:color w:val="auto"/>
                <w:kern w:val="0"/>
                <w:sz w:val="18"/>
                <w:szCs w:val="18"/>
                <w:highlight w:val="none"/>
                <w:lang w:val="en-US" w:eastAsia="zh-CN" w:bidi="ar"/>
              </w:rPr>
              <w:t>容器及仓储管理控制要求，</w:t>
            </w:r>
            <w:r>
              <w:rPr>
                <w:rFonts w:hint="default" w:ascii="Times New Roman" w:hAnsi="Times New Roman" w:eastAsia="宋体" w:cs="Times New Roman"/>
                <w:color w:val="auto"/>
                <w:kern w:val="0"/>
                <w:sz w:val="18"/>
                <w:szCs w:val="18"/>
                <w:highlight w:val="none"/>
                <w:lang w:bidi="ar"/>
              </w:rPr>
              <w:t>环境控制</w:t>
            </w:r>
            <w:r>
              <w:rPr>
                <w:rFonts w:hint="default" w:ascii="Times New Roman" w:hAnsi="Times New Roman" w:eastAsia="宋体" w:cs="Times New Roman"/>
                <w:color w:val="auto"/>
                <w:kern w:val="0"/>
                <w:sz w:val="18"/>
                <w:szCs w:val="18"/>
                <w:highlight w:val="none"/>
                <w:lang w:val="en-US" w:eastAsia="zh-CN" w:bidi="ar"/>
              </w:rPr>
              <w:t>等，收获人员的卫生培训、设备设施的清洁消毒等.农产品收获后的处理符合产品特性要求，如农作物需进行冷藏、不应使用保鲜剂处理等。</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50</w:t>
            </w:r>
          </w:p>
        </w:tc>
      </w:tr>
      <w:tr>
        <w:tblPrEx>
          <w:tblCellMar>
            <w:top w:w="0" w:type="dxa"/>
            <w:left w:w="108" w:type="dxa"/>
            <w:bottom w:w="0" w:type="dxa"/>
            <w:right w:w="108" w:type="dxa"/>
          </w:tblCellMar>
        </w:tblPrEx>
        <w:trPr>
          <w:jc w:val="center"/>
        </w:trPr>
        <w:tc>
          <w:tcPr>
            <w:tcW w:w="659" w:type="dxa"/>
            <w:tcBorders>
              <w:top w:val="single" w:color="auto" w:sz="4" w:space="0"/>
              <w:left w:val="single" w:color="auto" w:sz="8"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13</w:t>
            </w:r>
          </w:p>
        </w:tc>
        <w:tc>
          <w:tcPr>
            <w:tcW w:w="1080" w:type="dxa"/>
            <w:vMerge w:val="continue"/>
            <w:tcBorders>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  采购管理</w:t>
            </w:r>
          </w:p>
        </w:tc>
        <w:tc>
          <w:tcPr>
            <w:tcW w:w="4619"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textAlignment w:val="center"/>
              <w:rPr>
                <w:rFonts w:hint="default" w:ascii="Times New Roman" w:hAnsi="Times New Roman" w:eastAsia="宋体" w:cs="Times New Roman"/>
                <w:color w:val="auto"/>
                <w:kern w:val="0"/>
                <w:sz w:val="18"/>
                <w:szCs w:val="18"/>
                <w:highlight w:val="none"/>
                <w:lang w:bidi="ar"/>
              </w:rPr>
            </w:pPr>
            <w:r>
              <w:rPr>
                <w:rFonts w:hint="default" w:ascii="Times New Roman" w:hAnsi="Times New Roman" w:eastAsia="宋体" w:cs="Times New Roman"/>
                <w:color w:val="auto"/>
                <w:kern w:val="0"/>
                <w:sz w:val="18"/>
                <w:szCs w:val="18"/>
                <w:highlight w:val="none"/>
                <w:lang w:bidi="ar"/>
              </w:rPr>
              <w:t>3.</w:t>
            </w:r>
            <w:r>
              <w:rPr>
                <w:rFonts w:hint="default" w:ascii="Times New Roman" w:hAnsi="Times New Roman" w:eastAsia="宋体" w:cs="Times New Roman"/>
                <w:color w:val="auto"/>
                <w:kern w:val="0"/>
                <w:sz w:val="18"/>
                <w:szCs w:val="18"/>
                <w:highlight w:val="none"/>
                <w:lang w:val="en-US" w:eastAsia="zh-CN" w:bidi="ar"/>
              </w:rPr>
              <w:t>2</w:t>
            </w:r>
            <w:r>
              <w:rPr>
                <w:rFonts w:hint="default" w:ascii="Times New Roman" w:hAnsi="Times New Roman" w:eastAsia="宋体" w:cs="Times New Roman"/>
                <w:color w:val="auto"/>
                <w:kern w:val="0"/>
                <w:sz w:val="18"/>
                <w:szCs w:val="18"/>
                <w:highlight w:val="none"/>
                <w:lang w:bidi="ar"/>
              </w:rPr>
              <w:t>.</w:t>
            </w:r>
            <w:r>
              <w:rPr>
                <w:rFonts w:hint="default" w:ascii="Times New Roman" w:hAnsi="Times New Roman" w:eastAsia="宋体"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 xml:space="preserve">  建立</w:t>
            </w:r>
            <w:r>
              <w:rPr>
                <w:rFonts w:hint="default" w:ascii="Times New Roman" w:hAnsi="Times New Roman" w:eastAsia="宋体" w:cs="Times New Roman"/>
                <w:color w:val="auto"/>
                <w:kern w:val="0"/>
                <w:sz w:val="18"/>
                <w:szCs w:val="18"/>
                <w:highlight w:val="none"/>
                <w:lang w:val="en-US" w:eastAsia="zh-CN" w:bidi="ar"/>
              </w:rPr>
              <w:t>有农产品生长过程使用的</w:t>
            </w:r>
            <w:r>
              <w:rPr>
                <w:rFonts w:hint="default" w:ascii="Times New Roman" w:hAnsi="Times New Roman" w:eastAsia="宋体" w:cs="Times New Roman"/>
                <w:color w:val="auto"/>
                <w:kern w:val="0"/>
                <w:sz w:val="18"/>
                <w:szCs w:val="18"/>
                <w:highlight w:val="none"/>
                <w:lang w:bidi="ar"/>
              </w:rPr>
              <w:t>兽药、</w:t>
            </w:r>
            <w:r>
              <w:rPr>
                <w:rFonts w:hint="default" w:ascii="Times New Roman" w:hAnsi="Times New Roman" w:eastAsia="宋体" w:cs="Times New Roman"/>
                <w:color w:val="auto"/>
                <w:kern w:val="0"/>
                <w:sz w:val="18"/>
                <w:szCs w:val="18"/>
                <w:highlight w:val="none"/>
                <w:lang w:eastAsia="zh-CN" w:bidi="ar"/>
              </w:rPr>
              <w:t>肥料</w:t>
            </w:r>
            <w:r>
              <w:rPr>
                <w:rFonts w:hint="default" w:ascii="Times New Roman" w:hAnsi="Times New Roman" w:eastAsia="宋体" w:cs="Times New Roman"/>
                <w:color w:val="auto"/>
                <w:kern w:val="0"/>
                <w:sz w:val="18"/>
                <w:szCs w:val="18"/>
                <w:highlight w:val="none"/>
                <w:lang w:bidi="ar"/>
              </w:rPr>
              <w:t>、消毒剂、植保产品、</w:t>
            </w:r>
            <w:r>
              <w:rPr>
                <w:rFonts w:hint="default" w:ascii="Times New Roman" w:hAnsi="Times New Roman" w:eastAsia="宋体" w:cs="Times New Roman"/>
                <w:color w:val="auto"/>
                <w:kern w:val="0"/>
                <w:sz w:val="18"/>
                <w:szCs w:val="18"/>
                <w:highlight w:val="none"/>
                <w:lang w:val="en-US" w:eastAsia="zh-CN" w:bidi="ar"/>
              </w:rPr>
              <w:t>饲料、</w:t>
            </w:r>
            <w:r>
              <w:rPr>
                <w:rFonts w:hint="default" w:ascii="Times New Roman" w:hAnsi="Times New Roman" w:eastAsia="宋体" w:cs="Times New Roman"/>
                <w:color w:val="auto"/>
                <w:kern w:val="0"/>
                <w:sz w:val="18"/>
                <w:szCs w:val="18"/>
                <w:highlight w:val="none"/>
                <w:lang w:bidi="ar"/>
              </w:rPr>
              <w:t>生物杀灭剂和其他</w:t>
            </w:r>
            <w:r>
              <w:rPr>
                <w:rFonts w:hint="default" w:ascii="Times New Roman" w:hAnsi="Times New Roman" w:eastAsia="宋体" w:cs="Times New Roman"/>
                <w:color w:val="auto"/>
                <w:kern w:val="0"/>
                <w:sz w:val="18"/>
                <w:szCs w:val="18"/>
                <w:highlight w:val="none"/>
                <w:lang w:val="en-US" w:eastAsia="zh-CN" w:bidi="ar"/>
              </w:rPr>
              <w:t>投入品清单，并能记录其来源。</w:t>
            </w:r>
          </w:p>
        </w:tc>
        <w:tc>
          <w:tcPr>
            <w:tcW w:w="1276" w:type="dxa"/>
            <w:tcBorders>
              <w:top w:val="single" w:color="auto" w:sz="4" w:space="0"/>
              <w:left w:val="single" w:color="auto" w:sz="4" w:space="0"/>
              <w:bottom w:val="single" w:color="auto" w:sz="4" w:space="0"/>
              <w:right w:val="single" w:color="auto" w:sz="8" w:space="0"/>
            </w:tcBorders>
            <w:noWrap w:val="0"/>
            <w:vAlign w:val="center"/>
          </w:tcPr>
          <w:p>
            <w:pPr>
              <w:widowControl/>
              <w:snapToGrid w:val="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50</w:t>
            </w:r>
          </w:p>
        </w:tc>
      </w:tr>
    </w:tbl>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br w:type="page"/>
      </w:r>
    </w:p>
    <w:p>
      <w:pPr>
        <w:pStyle w:val="66"/>
        <w:numPr>
          <w:ilvl w:val="2"/>
          <w:numId w:val="0"/>
        </w:numPr>
        <w:spacing w:before="156" w:beforeLines="50" w:after="156" w:afterLines="50"/>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表 </w:t>
      </w:r>
      <w:r>
        <w:rPr>
          <w:rFonts w:hint="default" w:ascii="Times New Roman" w:hAnsi="Times New Roman" w:eastAsia="黑体" w:cs="Times New Roman"/>
          <w:color w:val="auto"/>
          <w:highlight w:val="none"/>
          <w:lang w:val="en-US" w:eastAsia="zh-CN"/>
        </w:rPr>
        <w:t>C</w:t>
      </w:r>
      <w:r>
        <w:rPr>
          <w:rFonts w:hint="default" w:ascii="Times New Roman" w:hAnsi="Times New Roman" w:eastAsia="黑体" w:cs="Times New Roman"/>
          <w:color w:val="auto"/>
          <w:highlight w:val="none"/>
        </w:rPr>
        <w:t xml:space="preserve">.1  </w:t>
      </w:r>
      <w:r>
        <w:rPr>
          <w:rFonts w:hint="default" w:ascii="Times New Roman" w:hAnsi="Times New Roman" w:eastAsia="黑体" w:cs="Times New Roman"/>
          <w:color w:val="auto"/>
          <w:highlight w:val="none"/>
          <w:lang w:eastAsia="zh-CN"/>
        </w:rPr>
        <w:t>农产品</w:t>
      </w:r>
      <w:r>
        <w:rPr>
          <w:rFonts w:hint="default" w:ascii="Times New Roman" w:hAnsi="Times New Roman" w:eastAsia="黑体" w:cs="Times New Roman"/>
          <w:color w:val="auto"/>
          <w:highlight w:val="none"/>
        </w:rPr>
        <w:t>资料评价指标及评价要求（续）</w:t>
      </w:r>
    </w:p>
    <w:tbl>
      <w:tblPr>
        <w:tblStyle w:val="32"/>
        <w:tblW w:w="9150" w:type="dxa"/>
        <w:jc w:val="center"/>
        <w:tblLayout w:type="fixed"/>
        <w:tblCellMar>
          <w:top w:w="0" w:type="dxa"/>
          <w:left w:w="108" w:type="dxa"/>
          <w:bottom w:w="0" w:type="dxa"/>
          <w:right w:w="108" w:type="dxa"/>
        </w:tblCellMar>
      </w:tblPr>
      <w:tblGrid>
        <w:gridCol w:w="659"/>
        <w:gridCol w:w="1080"/>
        <w:gridCol w:w="1516"/>
        <w:gridCol w:w="4619"/>
        <w:gridCol w:w="1276"/>
      </w:tblGrid>
      <w:tr>
        <w:tblPrEx>
          <w:tblCellMar>
            <w:top w:w="0" w:type="dxa"/>
            <w:left w:w="108" w:type="dxa"/>
            <w:bottom w:w="0" w:type="dxa"/>
            <w:right w:w="108" w:type="dxa"/>
          </w:tblCellMar>
        </w:tblPrEx>
        <w:trPr>
          <w:jc w:val="center"/>
        </w:trPr>
        <w:tc>
          <w:tcPr>
            <w:tcW w:w="659" w:type="dxa"/>
            <w:vMerge w:val="restart"/>
            <w:tcBorders>
              <w:top w:val="single" w:color="000000" w:sz="8"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序号</w:t>
            </w:r>
          </w:p>
        </w:tc>
        <w:tc>
          <w:tcPr>
            <w:tcW w:w="2596" w:type="dxa"/>
            <w:gridSpan w:val="2"/>
            <w:tcBorders>
              <w:top w:val="single" w:color="000000" w:sz="8" w:space="0"/>
              <w:left w:val="single" w:color="000000" w:sz="4" w:space="0"/>
              <w:bottom w:val="single" w:color="000000" w:sz="4" w:space="0"/>
              <w:right w:val="single" w:color="000000" w:sz="4" w:space="0"/>
            </w:tcBorders>
            <w:noWrap w:val="0"/>
            <w:vAlign w:val="center"/>
          </w:tcPr>
          <w:p>
            <w:pPr>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指标名称</w:t>
            </w:r>
          </w:p>
        </w:tc>
        <w:tc>
          <w:tcPr>
            <w:tcW w:w="4619" w:type="dxa"/>
            <w:vMerge w:val="restart"/>
            <w:tcBorders>
              <w:top w:val="single" w:color="000000" w:sz="8"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评价要求</w:t>
            </w:r>
          </w:p>
        </w:tc>
        <w:tc>
          <w:tcPr>
            <w:tcW w:w="1276" w:type="dxa"/>
            <w:vMerge w:val="restart"/>
            <w:tcBorders>
              <w:top w:val="single" w:color="000000" w:sz="8"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单项分值</w:t>
            </w:r>
          </w:p>
        </w:tc>
      </w:tr>
      <w:tr>
        <w:tblPrEx>
          <w:tblCellMar>
            <w:top w:w="0" w:type="dxa"/>
            <w:left w:w="108" w:type="dxa"/>
            <w:bottom w:w="0" w:type="dxa"/>
            <w:right w:w="108" w:type="dxa"/>
          </w:tblCellMar>
        </w:tblPrEx>
        <w:trPr>
          <w:jc w:val="center"/>
        </w:trPr>
        <w:tc>
          <w:tcPr>
            <w:tcW w:w="659" w:type="dxa"/>
            <w:vMerge w:val="continue"/>
            <w:tcBorders>
              <w:top w:val="single" w:color="000000" w:sz="8" w:space="0"/>
              <w:left w:val="single" w:color="000000" w:sz="8"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p>
        </w:tc>
        <w:tc>
          <w:tcPr>
            <w:tcW w:w="1080" w:type="dxa"/>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一级指标</w:t>
            </w:r>
          </w:p>
        </w:tc>
        <w:tc>
          <w:tcPr>
            <w:tcW w:w="1516" w:type="dxa"/>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二级指标</w:t>
            </w:r>
          </w:p>
        </w:tc>
        <w:tc>
          <w:tcPr>
            <w:tcW w:w="4619" w:type="dxa"/>
            <w:vMerge w:val="continue"/>
            <w:tcBorders>
              <w:top w:val="single" w:color="000000" w:sz="4" w:space="0"/>
              <w:left w:val="single" w:color="000000" w:sz="4" w:space="0"/>
              <w:bottom w:val="single" w:color="000000" w:sz="8"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p>
        </w:tc>
        <w:tc>
          <w:tcPr>
            <w:tcW w:w="1276" w:type="dxa"/>
            <w:vMerge w:val="continue"/>
            <w:tcBorders>
              <w:top w:val="single" w:color="000000" w:sz="4" w:space="0"/>
              <w:left w:val="single" w:color="000000" w:sz="4" w:space="0"/>
              <w:bottom w:val="single" w:color="000000" w:sz="8"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rPr>
            </w:pPr>
          </w:p>
        </w:tc>
      </w:tr>
      <w:tr>
        <w:tblPrEx>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14</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  产品责任及</w:t>
            </w:r>
            <w:r>
              <w:rPr>
                <w:rFonts w:hint="default" w:ascii="Times New Roman" w:hAnsi="Times New Roman" w:eastAsia="宋体" w:cs="Times New Roman"/>
                <w:color w:val="auto"/>
                <w:kern w:val="0"/>
                <w:sz w:val="18"/>
                <w:szCs w:val="18"/>
                <w:highlight w:val="none"/>
                <w:lang w:eastAsia="zh-CN" w:bidi="ar"/>
              </w:rPr>
              <w:t>客户</w:t>
            </w:r>
            <w:r>
              <w:rPr>
                <w:rFonts w:hint="default" w:ascii="Times New Roman" w:hAnsi="Times New Roman" w:eastAsia="宋体" w:cs="Times New Roman"/>
                <w:color w:val="auto"/>
                <w:kern w:val="0"/>
                <w:sz w:val="18"/>
                <w:szCs w:val="18"/>
                <w:highlight w:val="none"/>
                <w:lang w:bidi="ar"/>
              </w:rPr>
              <w:t>权益保障</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4.1  产品责任</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4.1.</w:t>
            </w:r>
            <w:r>
              <w:rPr>
                <w:rFonts w:hint="default" w:ascii="Times New Roman" w:hAnsi="Times New Roman" w:eastAsia="宋体"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 xml:space="preserve">  </w:t>
            </w:r>
            <w:r>
              <w:rPr>
                <w:rFonts w:hint="default" w:ascii="Times New Roman" w:hAnsi="Times New Roman" w:eastAsia="宋体" w:cs="Times New Roman"/>
                <w:color w:val="auto"/>
                <w:kern w:val="0"/>
                <w:sz w:val="18"/>
                <w:szCs w:val="18"/>
                <w:highlight w:val="none"/>
                <w:lang w:val="en-US" w:eastAsia="zh-CN" w:bidi="ar"/>
              </w:rPr>
              <w:t>能建立有效的追溯系统，记录包括但不限于：收获日期、基地场所、加工时间、品种、出入库数量、产品去向（厂商名称、地址、联系方式）、产品标识（名称、批号、数量和规格）、交易时间、地点，追溯信息保存期限</w:t>
            </w:r>
            <w:r>
              <w:rPr>
                <w:rFonts w:hint="eastAsia" w:cs="Times New Roman"/>
                <w:color w:val="auto"/>
                <w:kern w:val="0"/>
                <w:sz w:val="18"/>
                <w:szCs w:val="18"/>
                <w:highlight w:val="none"/>
                <w:lang w:val="en-US" w:eastAsia="zh-CN" w:bidi="ar"/>
              </w:rPr>
              <w:t>至少</w:t>
            </w:r>
            <w:r>
              <w:rPr>
                <w:rFonts w:hint="default" w:ascii="Times New Roman" w:hAnsi="Times New Roman" w:eastAsia="宋体" w:cs="Times New Roman"/>
                <w:color w:val="auto"/>
                <w:kern w:val="0"/>
                <w:sz w:val="18"/>
                <w:szCs w:val="18"/>
                <w:highlight w:val="none"/>
                <w:lang w:val="en-US" w:eastAsia="zh-CN" w:bidi="ar"/>
              </w:rPr>
              <w:t>为产品的保存期限后半年。</w:t>
            </w:r>
          </w:p>
        </w:tc>
        <w:tc>
          <w:tcPr>
            <w:tcW w:w="1276"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lang w:val="en-US" w:eastAsia="zh-CN"/>
              </w:rPr>
              <w:t>50</w:t>
            </w:r>
          </w:p>
        </w:tc>
      </w:tr>
      <w:tr>
        <w:tblPrEx>
          <w:tblCellMar>
            <w:top w:w="0" w:type="dxa"/>
            <w:left w:w="108" w:type="dxa"/>
            <w:bottom w:w="0" w:type="dxa"/>
            <w:right w:w="108" w:type="dxa"/>
          </w:tblCellMar>
        </w:tblPrEx>
        <w:trPr>
          <w:jc w:val="center"/>
        </w:trPr>
        <w:tc>
          <w:tcPr>
            <w:tcW w:w="659"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Times New Roman" w:hAnsi="Times New Roman" w:eastAsia="宋体" w:cs="Times New Roman"/>
                <w:color w:val="auto"/>
                <w:sz w:val="18"/>
                <w:szCs w:val="18"/>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 xml:space="preserve">4.2  </w:t>
            </w:r>
            <w:r>
              <w:rPr>
                <w:rFonts w:hint="default" w:ascii="Times New Roman" w:hAnsi="Times New Roman" w:eastAsia="宋体" w:cs="Times New Roman"/>
                <w:color w:val="auto"/>
                <w:kern w:val="0"/>
                <w:sz w:val="18"/>
                <w:szCs w:val="18"/>
                <w:highlight w:val="none"/>
                <w:lang w:eastAsia="zh-CN" w:bidi="ar"/>
              </w:rPr>
              <w:t>客户</w:t>
            </w:r>
            <w:r>
              <w:rPr>
                <w:rFonts w:hint="default" w:ascii="Times New Roman" w:hAnsi="Times New Roman" w:eastAsia="宋体" w:cs="Times New Roman"/>
                <w:color w:val="auto"/>
                <w:kern w:val="0"/>
                <w:sz w:val="18"/>
                <w:szCs w:val="18"/>
                <w:highlight w:val="none"/>
                <w:lang w:bidi="ar"/>
              </w:rPr>
              <w:t>权益保障</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4.2.</w:t>
            </w:r>
            <w:r>
              <w:rPr>
                <w:rFonts w:hint="default" w:ascii="Times New Roman" w:hAnsi="Times New Roman" w:eastAsia="宋体" w:cs="Times New Roman"/>
                <w:color w:val="auto"/>
                <w:kern w:val="0"/>
                <w:sz w:val="18"/>
                <w:szCs w:val="18"/>
                <w:highlight w:val="none"/>
                <w:lang w:val="en-US" w:eastAsia="zh-CN" w:bidi="ar"/>
              </w:rPr>
              <w:t>1</w:t>
            </w:r>
            <w:r>
              <w:rPr>
                <w:rFonts w:hint="default" w:ascii="Times New Roman" w:hAnsi="Times New Roman" w:eastAsia="宋体" w:cs="Times New Roman"/>
                <w:color w:val="auto"/>
                <w:kern w:val="0"/>
                <w:sz w:val="18"/>
                <w:szCs w:val="18"/>
                <w:highlight w:val="none"/>
                <w:lang w:bidi="ar"/>
              </w:rPr>
              <w:t xml:space="preserve">  建立客户投诉处理程序，内容包括但不限于：投诉渠道、投诉分类、投诉处理流程、响应时效要求、改进要求等。</w:t>
            </w:r>
          </w:p>
        </w:tc>
        <w:tc>
          <w:tcPr>
            <w:tcW w:w="1276"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30</w:t>
            </w:r>
          </w:p>
        </w:tc>
      </w:tr>
      <w:tr>
        <w:tblPrEx>
          <w:tblCellMar>
            <w:top w:w="0" w:type="dxa"/>
            <w:left w:w="108" w:type="dxa"/>
            <w:bottom w:w="0" w:type="dxa"/>
            <w:right w:w="108" w:type="dxa"/>
          </w:tblCellMar>
        </w:tblPrEx>
        <w:trPr>
          <w:jc w:val="center"/>
        </w:trPr>
        <w:tc>
          <w:tcPr>
            <w:tcW w:w="7874" w:type="dxa"/>
            <w:gridSpan w:val="4"/>
            <w:tcBorders>
              <w:top w:val="single" w:color="000000" w:sz="4" w:space="0"/>
              <w:left w:val="single" w:color="000000" w:sz="8" w:space="0"/>
              <w:bottom w:val="single" w:color="000000" w:sz="4" w:space="0"/>
              <w:right w:val="single" w:color="000000" w:sz="4" w:space="0"/>
            </w:tcBorders>
            <w:noWrap w:val="0"/>
            <w:vAlign w:val="center"/>
          </w:tcPr>
          <w:p>
            <w:pPr>
              <w:widowControl/>
              <w:snapToGrid w:val="0"/>
              <w:jc w:val="center"/>
              <w:textAlignment w:val="center"/>
              <w:rPr>
                <w:rFonts w:hint="default" w:ascii="Times New Roman" w:hAnsi="Times New Roman" w:eastAsia="黑体" w:cs="Times New Roman"/>
                <w:color w:val="auto"/>
                <w:kern w:val="0"/>
                <w:sz w:val="18"/>
                <w:szCs w:val="18"/>
                <w:highlight w:val="none"/>
                <w:lang w:eastAsia="zh-CN" w:bidi="ar"/>
              </w:rPr>
            </w:pPr>
            <w:r>
              <w:rPr>
                <w:rFonts w:hint="default" w:ascii="Times New Roman" w:hAnsi="Times New Roman" w:eastAsia="黑体" w:cs="Times New Roman"/>
                <w:color w:val="auto"/>
                <w:kern w:val="0"/>
                <w:sz w:val="18"/>
                <w:szCs w:val="18"/>
                <w:highlight w:val="none"/>
                <w:lang w:eastAsia="zh-CN" w:bidi="ar"/>
              </w:rPr>
              <w:t>合计</w:t>
            </w:r>
          </w:p>
        </w:tc>
        <w:tc>
          <w:tcPr>
            <w:tcW w:w="1276"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jc w:val="center"/>
              <w:textAlignment w:val="cente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800</w:t>
            </w:r>
          </w:p>
        </w:tc>
      </w:tr>
    </w:tbl>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pStyle w:val="66"/>
        <w:numPr>
          <w:ilvl w:val="2"/>
          <w:numId w:val="0"/>
        </w:numPr>
        <w:jc w:val="center"/>
        <w:rPr>
          <w:rFonts w:hint="default" w:ascii="Times New Roman" w:hAnsi="Times New Roman" w:eastAsia="黑体" w:cs="Times New Roman"/>
          <w:color w:val="auto"/>
          <w:highlight w:val="none"/>
        </w:rPr>
      </w:pPr>
    </w:p>
    <w:p>
      <w:pP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br w:type="page"/>
      </w:r>
    </w:p>
    <w:p>
      <w:pPr>
        <w:pStyle w:val="66"/>
        <w:numPr>
          <w:ilvl w:val="2"/>
          <w:numId w:val="0"/>
        </w:numPr>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附 录</w:t>
      </w:r>
      <w:r>
        <w:rPr>
          <w:rFonts w:hint="default" w:ascii="Times New Roman" w:hAnsi="Times New Roman" w:eastAsia="黑体" w:cs="Times New Roman"/>
          <w:color w:val="auto"/>
          <w:highlight w:val="none"/>
          <w:lang w:val="en-US" w:eastAsia="zh-CN"/>
        </w:rPr>
        <w:t>D</w:t>
      </w:r>
    </w:p>
    <w:p>
      <w:pPr>
        <w:pStyle w:val="66"/>
        <w:numPr>
          <w:ilvl w:val="2"/>
          <w:numId w:val="0"/>
        </w:num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(规范性)</w:t>
      </w:r>
    </w:p>
    <w:p>
      <w:pPr>
        <w:pStyle w:val="66"/>
        <w:numPr>
          <w:ilvl w:val="2"/>
          <w:numId w:val="0"/>
        </w:num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val="en-US" w:eastAsia="zh-CN"/>
        </w:rPr>
        <w:t>农产品</w:t>
      </w:r>
      <w:r>
        <w:rPr>
          <w:rFonts w:hint="default" w:ascii="Times New Roman" w:hAnsi="Times New Roman" w:eastAsia="黑体" w:cs="Times New Roman"/>
          <w:color w:val="auto"/>
          <w:highlight w:val="none"/>
        </w:rPr>
        <w:t>现场评价指标及评价要求</w:t>
      </w:r>
    </w:p>
    <w:p>
      <w:pPr>
        <w:pStyle w:val="66"/>
        <w:numPr>
          <w:ilvl w:val="2"/>
          <w:numId w:val="0"/>
        </w:numPr>
        <w:ind w:firstLine="420" w:firstLineChars="200"/>
        <w:jc w:val="both"/>
        <w:rPr>
          <w:rFonts w:hint="default" w:ascii="Times New Roman" w:hAnsi="Times New Roman" w:cs="Times New Roman"/>
          <w:color w:val="auto"/>
          <w:highlight w:val="none"/>
          <w:lang w:eastAsia="zh-CN"/>
        </w:rPr>
      </w:pPr>
    </w:p>
    <w:p>
      <w:pPr>
        <w:pStyle w:val="66"/>
        <w:numPr>
          <w:ilvl w:val="2"/>
          <w:numId w:val="0"/>
        </w:numPr>
        <w:ind w:firstLine="42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农产品</w:t>
      </w:r>
      <w:r>
        <w:rPr>
          <w:rFonts w:hint="default" w:ascii="Times New Roman" w:hAnsi="Times New Roman" w:cs="Times New Roman"/>
          <w:color w:val="auto"/>
          <w:highlight w:val="none"/>
        </w:rPr>
        <w:t>现场评价指标、评价要求及分值见表</w:t>
      </w:r>
      <w:r>
        <w:rPr>
          <w:rFonts w:hint="default" w:ascii="Times New Roman" w:hAnsi="Times New Roman" w:cs="Times New Roman"/>
          <w:color w:val="auto"/>
          <w:highlight w:val="none"/>
          <w:lang w:val="en-US" w:eastAsia="zh-CN"/>
        </w:rPr>
        <w:t>D</w:t>
      </w:r>
      <w:r>
        <w:rPr>
          <w:rFonts w:hint="default" w:ascii="Times New Roman" w:hAnsi="Times New Roman" w:cs="Times New Roman"/>
          <w:color w:val="auto"/>
          <w:highlight w:val="none"/>
        </w:rPr>
        <w:t>.1。</w:t>
      </w:r>
    </w:p>
    <w:p>
      <w:pPr>
        <w:pStyle w:val="66"/>
        <w:numPr>
          <w:ilvl w:val="2"/>
          <w:numId w:val="0"/>
        </w:numPr>
        <w:ind w:firstLine="420" w:firstLineChars="200"/>
        <w:jc w:val="center"/>
        <w:rPr>
          <w:rFonts w:hint="default" w:ascii="Times New Roman" w:hAnsi="Times New Roman" w:eastAsia="黑体" w:cs="Times New Roman"/>
          <w:color w:val="auto"/>
          <w:highlight w:val="none"/>
        </w:rPr>
      </w:pPr>
    </w:p>
    <w:p>
      <w:pPr>
        <w:pStyle w:val="66"/>
        <w:numPr>
          <w:ilvl w:val="2"/>
          <w:numId w:val="0"/>
        </w:numPr>
        <w:ind w:firstLine="420" w:firstLineChars="200"/>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 xml:space="preserve">表 </w:t>
      </w:r>
      <w:r>
        <w:rPr>
          <w:rFonts w:hint="default" w:ascii="Times New Roman" w:hAnsi="Times New Roman" w:eastAsia="黑体" w:cs="Times New Roman"/>
          <w:color w:val="auto"/>
          <w:highlight w:val="none"/>
          <w:lang w:val="en-US" w:eastAsia="zh-CN"/>
        </w:rPr>
        <w:t>D</w:t>
      </w:r>
      <w:r>
        <w:rPr>
          <w:rFonts w:hint="default" w:ascii="Times New Roman" w:hAnsi="Times New Roman" w:eastAsia="黑体" w:cs="Times New Roman"/>
          <w:color w:val="auto"/>
          <w:highlight w:val="none"/>
        </w:rPr>
        <w:t xml:space="preserve">.1  </w:t>
      </w:r>
      <w:r>
        <w:rPr>
          <w:rFonts w:hint="default" w:ascii="Times New Roman" w:hAnsi="Times New Roman" w:eastAsia="黑体" w:cs="Times New Roman"/>
          <w:color w:val="auto"/>
          <w:highlight w:val="none"/>
          <w:lang w:val="en-US" w:eastAsia="zh-CN"/>
        </w:rPr>
        <w:t>农产品</w:t>
      </w:r>
      <w:r>
        <w:rPr>
          <w:rFonts w:hint="default" w:ascii="Times New Roman" w:hAnsi="Times New Roman" w:eastAsia="黑体" w:cs="Times New Roman"/>
          <w:color w:val="auto"/>
          <w:highlight w:val="none"/>
        </w:rPr>
        <w:t>现场评价指标及评价要求</w:t>
      </w:r>
    </w:p>
    <w:tbl>
      <w:tblPr>
        <w:tblStyle w:val="32"/>
        <w:tblW w:w="9152" w:type="dxa"/>
        <w:jc w:val="center"/>
        <w:tblLayout w:type="autofit"/>
        <w:tblCellMar>
          <w:top w:w="0" w:type="dxa"/>
          <w:left w:w="108" w:type="dxa"/>
          <w:bottom w:w="0" w:type="dxa"/>
          <w:right w:w="108" w:type="dxa"/>
        </w:tblCellMar>
      </w:tblPr>
      <w:tblGrid>
        <w:gridCol w:w="705"/>
        <w:gridCol w:w="1080"/>
        <w:gridCol w:w="6085"/>
        <w:gridCol w:w="1282"/>
      </w:tblGrid>
      <w:tr>
        <w:tblPrEx>
          <w:tblCellMar>
            <w:top w:w="0" w:type="dxa"/>
            <w:left w:w="108" w:type="dxa"/>
            <w:bottom w:w="0" w:type="dxa"/>
            <w:right w:w="108" w:type="dxa"/>
          </w:tblCellMar>
        </w:tblPrEx>
        <w:trPr>
          <w:trHeight w:val="512" w:hRule="atLeast"/>
          <w:jc w:val="center"/>
        </w:trPr>
        <w:tc>
          <w:tcPr>
            <w:tcW w:w="705" w:type="dxa"/>
            <w:tcBorders>
              <w:top w:val="single" w:color="000000" w:sz="8" w:space="0"/>
              <w:left w:val="single" w:color="000000" w:sz="8" w:space="0"/>
              <w:bottom w:val="single" w:color="000000" w:sz="8"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序号</w:t>
            </w:r>
          </w:p>
        </w:tc>
        <w:tc>
          <w:tcPr>
            <w:tcW w:w="1080" w:type="dxa"/>
            <w:tcBorders>
              <w:top w:val="single" w:color="000000" w:sz="8" w:space="0"/>
              <w:left w:val="single" w:color="000000" w:sz="4" w:space="0"/>
              <w:bottom w:val="single" w:color="auto" w:sz="4"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指标名称</w:t>
            </w:r>
          </w:p>
        </w:tc>
        <w:tc>
          <w:tcPr>
            <w:tcW w:w="6085" w:type="dxa"/>
            <w:tcBorders>
              <w:top w:val="single" w:color="000000" w:sz="8" w:space="0"/>
              <w:left w:val="single" w:color="000000" w:sz="4" w:space="0"/>
              <w:bottom w:val="single" w:color="auto" w:sz="4"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评价要求</w:t>
            </w:r>
          </w:p>
        </w:tc>
        <w:tc>
          <w:tcPr>
            <w:tcW w:w="1282" w:type="dxa"/>
            <w:tcBorders>
              <w:top w:val="single" w:color="000000" w:sz="8" w:space="0"/>
              <w:left w:val="single" w:color="000000" w:sz="4" w:space="0"/>
              <w:bottom w:val="single" w:color="000000" w:sz="8"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单项分值</w:t>
            </w:r>
          </w:p>
        </w:tc>
      </w:tr>
      <w:tr>
        <w:tblPrEx>
          <w:tblCellMar>
            <w:top w:w="0" w:type="dxa"/>
            <w:left w:w="108" w:type="dxa"/>
            <w:bottom w:w="0" w:type="dxa"/>
            <w:right w:w="108" w:type="dxa"/>
          </w:tblCellMar>
        </w:tblPrEx>
        <w:trPr>
          <w:trHeight w:val="245" w:hRule="atLeast"/>
          <w:jc w:val="center"/>
        </w:trPr>
        <w:tc>
          <w:tcPr>
            <w:tcW w:w="705" w:type="dxa"/>
            <w:tcBorders>
              <w:top w:val="single" w:color="000000" w:sz="8" w:space="0"/>
              <w:left w:val="single" w:color="000000" w:sz="8" w:space="0"/>
              <w:bottom w:val="single" w:color="000000" w:sz="4" w:space="0"/>
              <w:right w:val="single" w:color="auto"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bidi="ar"/>
              </w:rPr>
              <w:t>1</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  生产现场</w:t>
            </w:r>
          </w:p>
        </w:tc>
        <w:tc>
          <w:tcPr>
            <w:tcW w:w="60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1.1  生长场所选址合规、布局合理，远离污染源，有明确边界标识。</w:t>
            </w:r>
          </w:p>
        </w:tc>
        <w:tc>
          <w:tcPr>
            <w:tcW w:w="1282" w:type="dxa"/>
            <w:tcBorders>
              <w:top w:val="single" w:color="000000" w:sz="8" w:space="0"/>
              <w:left w:val="single" w:color="auto"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25</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auto"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60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1.2  生产现场保持有技术文件，包括但不限于：生产技术规程、管理制度等。</w:t>
            </w:r>
          </w:p>
        </w:tc>
        <w:tc>
          <w:tcPr>
            <w:tcW w:w="1282" w:type="dxa"/>
            <w:tcBorders>
              <w:top w:val="single" w:color="000000" w:sz="4" w:space="0"/>
              <w:left w:val="single" w:color="auto"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25</w:t>
            </w:r>
          </w:p>
        </w:tc>
      </w:tr>
      <w:tr>
        <w:tblPrEx>
          <w:tblCellMar>
            <w:top w:w="0" w:type="dxa"/>
            <w:left w:w="108" w:type="dxa"/>
            <w:bottom w:w="0" w:type="dxa"/>
            <w:right w:w="108" w:type="dxa"/>
          </w:tblCellMar>
        </w:tblPrEx>
        <w:trPr>
          <w:trHeight w:val="90" w:hRule="atLeast"/>
          <w:jc w:val="center"/>
        </w:trPr>
        <w:tc>
          <w:tcPr>
            <w:tcW w:w="705" w:type="dxa"/>
            <w:tcBorders>
              <w:top w:val="single" w:color="000000" w:sz="4" w:space="0"/>
              <w:left w:val="single" w:color="000000" w:sz="8" w:space="0"/>
              <w:bottom w:val="single" w:color="000000" w:sz="4" w:space="0"/>
              <w:right w:val="single" w:color="auto"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3</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60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1.3  生产各关键过程保持记录，包括但不限于繁种、药物（含动物用防疫品）、植保产品的使用等，与技术文件规定一致，并符合国家相关标准，不使用禁用药物/植保产品。</w:t>
            </w:r>
          </w:p>
        </w:tc>
        <w:tc>
          <w:tcPr>
            <w:tcW w:w="1282" w:type="dxa"/>
            <w:tcBorders>
              <w:top w:val="single" w:color="000000" w:sz="4" w:space="0"/>
              <w:left w:val="single" w:color="auto"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40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auto"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4</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60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1.4  生产需要的设备设施与产品特性相适宜，需要的各项设备如灌溉、施肥、病虫害防治、饲喂等设备齐全，定期维护，有维护记录</w:t>
            </w:r>
          </w:p>
        </w:tc>
        <w:tc>
          <w:tcPr>
            <w:tcW w:w="1282" w:type="dxa"/>
            <w:tcBorders>
              <w:top w:val="single" w:color="000000" w:sz="4" w:space="0"/>
              <w:left w:val="single" w:color="auto"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auto"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60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1.5  对生产现场使用的兽药、化学品、消毒剂、植保产品、饲料、生物杀灭剂、药物（含防疫品）和其他投入品等能良好储存，实施有效防护，包括：标识、堆放、搬运、储存等。</w:t>
            </w:r>
          </w:p>
        </w:tc>
        <w:tc>
          <w:tcPr>
            <w:tcW w:w="1282" w:type="dxa"/>
            <w:tcBorders>
              <w:top w:val="single" w:color="000000" w:sz="4" w:space="0"/>
              <w:left w:val="single" w:color="auto"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25</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auto"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6</w:t>
            </w: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60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1.6  对生产现场使用的兽药、化学品、消毒剂、植保产品、饲料、生物杀灭剂、药物（含防疫品）和其他投入品等来源正规，有采购记录、使用记录，无禁用投入品。</w:t>
            </w:r>
          </w:p>
        </w:tc>
        <w:tc>
          <w:tcPr>
            <w:tcW w:w="1282" w:type="dxa"/>
            <w:tcBorders>
              <w:top w:val="single" w:color="000000" w:sz="4" w:space="0"/>
              <w:left w:val="single" w:color="auto"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25</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w:t>
            </w:r>
          </w:p>
        </w:tc>
        <w:tc>
          <w:tcPr>
            <w:tcW w:w="1080" w:type="dxa"/>
            <w:vMerge w:val="restart"/>
            <w:tcBorders>
              <w:top w:val="single" w:color="auto"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  仓储现场</w:t>
            </w:r>
          </w:p>
        </w:tc>
        <w:tc>
          <w:tcPr>
            <w:tcW w:w="6085" w:type="dxa"/>
            <w:tcBorders>
              <w:top w:val="single" w:color="auto"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2.1  有明确的仓储环境控制要求，如温度、湿度等，需进行定期检查。</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2.2  保持出入库台账，实施先进先出管理。对仓存品实施有效防护，包括防潮霉、防虫鼠、离地离墙堆放、限制堆高等。</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2.3  进出库能实现追溯，并有适当的标识</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trHeight w:val="604" w:hRule="atLeast"/>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3  检验现场</w:t>
            </w: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3.1  检验场所整洁，检验设备齐全、校准合格，检验人员持证上岗，检验记录完整</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10</w:t>
            </w:r>
          </w:p>
        </w:tc>
      </w:tr>
      <w:tr>
        <w:trPr>
          <w:jc w:val="center"/>
        </w:trPr>
        <w:tc>
          <w:tcPr>
            <w:tcW w:w="705" w:type="dxa"/>
            <w:tcBorders>
              <w:top w:val="single" w:color="000000" w:sz="4" w:space="0"/>
              <w:left w:val="single" w:color="000000" w:sz="8" w:space="0"/>
              <w:bottom w:val="single" w:color="000000" w:sz="4"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p>
        </w:tc>
        <w:tc>
          <w:tcPr>
            <w:tcW w:w="6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uto"/>
              <w:jc w:val="left"/>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3.2  保留产品检验实施中发生的不合格品记录，记录应包括不合格品的描述、原因分析、改进措施等信息。</w:t>
            </w:r>
          </w:p>
        </w:tc>
        <w:tc>
          <w:tcPr>
            <w:tcW w:w="1282" w:type="dxa"/>
            <w:tcBorders>
              <w:top w:val="single" w:color="000000" w:sz="4" w:space="0"/>
              <w:left w:val="single" w:color="000000" w:sz="4" w:space="0"/>
              <w:bottom w:val="single" w:color="000000" w:sz="4"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宋体" w:cs="Times New Roman"/>
                <w:color w:val="auto"/>
                <w:kern w:val="0"/>
                <w:sz w:val="18"/>
                <w:szCs w:val="18"/>
                <w:highlight w:val="none"/>
                <w:lang w:val="en-US" w:eastAsia="zh-CN" w:bidi="ar"/>
              </w:rPr>
            </w:pPr>
            <w:r>
              <w:rPr>
                <w:rFonts w:hint="default" w:ascii="Times New Roman" w:hAnsi="Times New Roman" w:eastAsia="宋体" w:cs="Times New Roman"/>
                <w:color w:val="auto"/>
                <w:kern w:val="0"/>
                <w:sz w:val="18"/>
                <w:szCs w:val="18"/>
                <w:highlight w:val="none"/>
                <w:lang w:val="en-US" w:eastAsia="zh-CN" w:bidi="ar"/>
              </w:rPr>
              <w:t>10</w:t>
            </w:r>
          </w:p>
        </w:tc>
      </w:tr>
      <w:tr>
        <w:tblPrEx>
          <w:tblCellMar>
            <w:top w:w="0" w:type="dxa"/>
            <w:left w:w="108" w:type="dxa"/>
            <w:bottom w:w="0" w:type="dxa"/>
            <w:right w:w="108" w:type="dxa"/>
          </w:tblCellMar>
        </w:tblPrEx>
        <w:trPr>
          <w:trHeight w:val="512" w:hRule="atLeast"/>
          <w:jc w:val="center"/>
        </w:trPr>
        <w:tc>
          <w:tcPr>
            <w:tcW w:w="7870"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snapToGrid w:val="0"/>
              <w:spacing w:line="240" w:lineRule="auto"/>
              <w:jc w:val="center"/>
              <w:textAlignment w:val="center"/>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合计</w:t>
            </w:r>
          </w:p>
        </w:tc>
        <w:tc>
          <w:tcPr>
            <w:tcW w:w="1282" w:type="dxa"/>
            <w:tcBorders>
              <w:top w:val="single" w:color="000000" w:sz="4" w:space="0"/>
              <w:left w:val="single" w:color="000000" w:sz="4" w:space="0"/>
              <w:bottom w:val="single" w:color="000000" w:sz="8" w:space="0"/>
              <w:right w:val="single" w:color="000000" w:sz="8" w:space="0"/>
            </w:tcBorders>
            <w:noWrap w:val="0"/>
            <w:vAlign w:val="center"/>
          </w:tcPr>
          <w:p>
            <w:pPr>
              <w:widowControl/>
              <w:snapToGrid w:val="0"/>
              <w:spacing w:line="240" w:lineRule="auto"/>
              <w:jc w:val="center"/>
              <w:textAlignment w:val="center"/>
              <w:rPr>
                <w:rFonts w:hint="default" w:ascii="Times New Roman" w:hAnsi="Times New Roman" w:eastAsia="黑体" w:cs="Times New Roman"/>
                <w:color w:val="auto"/>
                <w:kern w:val="0"/>
                <w:sz w:val="18"/>
                <w:szCs w:val="18"/>
                <w:highlight w:val="none"/>
                <w:lang w:val="en-US" w:eastAsia="zh-CN" w:bidi="ar"/>
              </w:rPr>
            </w:pPr>
            <w:r>
              <w:rPr>
                <w:rFonts w:hint="default" w:ascii="Times New Roman" w:hAnsi="Times New Roman" w:eastAsia="黑体" w:cs="Times New Roman"/>
                <w:color w:val="auto"/>
                <w:kern w:val="0"/>
                <w:sz w:val="18"/>
                <w:szCs w:val="18"/>
                <w:highlight w:val="none"/>
                <w:lang w:val="en-US" w:eastAsia="zh-CN" w:bidi="ar"/>
              </w:rPr>
              <w:t>200</w:t>
            </w:r>
          </w:p>
        </w:tc>
      </w:tr>
    </w:tbl>
    <w:p>
      <w:pPr>
        <w:pStyle w:val="132"/>
        <w:framePr w:hSpace="0" w:vSpace="0" w:wrap="auto" w:vAnchor="margin" w:hAnchor="text" w:xAlign="left" w:yAlign="inline"/>
        <w:rPr>
          <w:rFonts w:hint="default" w:ascii="Times New Roman" w:hAnsi="Times New Roman" w:cs="Times New Roman"/>
          <w:color w:val="auto"/>
          <w:highlight w:val="none"/>
        </w:rPr>
      </w:pPr>
    </w:p>
    <w:p>
      <w:pPr>
        <w:pStyle w:val="132"/>
        <w:framePr w:hSpace="0" w:vSpace="0" w:wrap="auto" w:vAnchor="margin" w:hAnchor="text" w:xAlign="left" w:yAlign="inline"/>
        <w:rPr>
          <w:rFonts w:hint="default" w:ascii="Times New Roman" w:hAnsi="Times New Roman" w:cs="Times New Roman"/>
          <w:color w:val="auto"/>
          <w:highlight w:val="none"/>
        </w:rPr>
      </w:pPr>
    </w:p>
    <w:p>
      <w:pPr>
        <w:pStyle w:val="132"/>
        <w:framePr w:hSpace="0" w:vSpace="0" w:wrap="auto" w:vAnchor="margin" w:hAnchor="text" w:xAlign="left" w:yAlign="inline"/>
        <w:rPr>
          <w:rFonts w:hint="default" w:ascii="Times New Roman" w:hAnsi="Times New Roman" w:cs="Times New Roman"/>
          <w:color w:val="auto"/>
          <w:highlight w:val="none"/>
        </w:rPr>
      </w:pPr>
    </w:p>
    <w:sectPr>
      <w:headerReference r:id="rId4" w:type="first"/>
      <w:footerReference r:id="rId5" w:type="default"/>
      <w:headerReference r:id="rId3" w:type="even"/>
      <w:footerReference r:id="rId6" w:type="even"/>
      <w:pgSz w:w="11906" w:h="16838"/>
      <w:pgMar w:top="567" w:right="1134" w:bottom="1134" w:left="1417" w:header="1418" w:footer="1134" w:gutter="0"/>
      <w:pgNumType w:fmt="numberInDash" w:start="1"/>
      <w:cols w:space="720"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FC91163"/>
    <w:multiLevelType w:val="multilevel"/>
    <w:tmpl w:val="1FC9116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9"/>
      <w:suff w:val="nothing"/>
      <w:lvlText w:val="%1.%2.%3　"/>
      <w:lvlJc w:val="left"/>
      <w:pPr>
        <w:ind w:left="0" w:firstLine="0"/>
      </w:pPr>
      <w:rPr>
        <w:rFonts w:hint="eastAsia" w:ascii="黑体" w:hAnsi="Times New Roman" w:eastAsia="黑体"/>
        <w:b w:val="0"/>
        <w:i w:val="0"/>
        <w:sz w:val="21"/>
      </w:rPr>
    </w:lvl>
    <w:lvl w:ilvl="3" w:tentative="0">
      <w:start w:val="1"/>
      <w:numFmt w:val="decimal"/>
      <w:pStyle w:val="54"/>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0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51"/>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6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B733A5F"/>
    <w:multiLevelType w:val="multilevel"/>
    <w:tmpl w:val="4B733A5F"/>
    <w:lvl w:ilvl="0" w:tentative="0">
      <w:start w:val="1"/>
      <w:numFmt w:val="decimal"/>
      <w:pStyle w:val="6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557C2AF5"/>
    <w:multiLevelType w:val="multilevel"/>
    <w:tmpl w:val="557C2AF5"/>
    <w:lvl w:ilvl="0" w:tentative="0">
      <w:start w:val="1"/>
      <w:numFmt w:val="decimal"/>
      <w:pStyle w:val="13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9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0C645B3"/>
    <w:multiLevelType w:val="multilevel"/>
    <w:tmpl w:val="60C645B3"/>
    <w:lvl w:ilvl="0" w:tentative="0">
      <w:start w:val="1"/>
      <w:numFmt w:val="lowerLetter"/>
      <w:pStyle w:val="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7"/>
      <w:lvlText w:val="%2)"/>
      <w:lvlJc w:val="left"/>
      <w:pPr>
        <w:tabs>
          <w:tab w:val="left" w:pos="1260"/>
        </w:tabs>
        <w:ind w:left="1259" w:hanging="419"/>
      </w:pPr>
      <w:rPr>
        <w:rFonts w:hint="eastAsia"/>
      </w:rPr>
    </w:lvl>
    <w:lvl w:ilvl="2" w:tentative="0">
      <w:start w:val="1"/>
      <w:numFmt w:val="decimal"/>
      <w:pStyle w:val="6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646260FA"/>
    <w:multiLevelType w:val="multilevel"/>
    <w:tmpl w:val="646260FA"/>
    <w:lvl w:ilvl="0" w:tentative="0">
      <w:start w:val="1"/>
      <w:numFmt w:val="decimal"/>
      <w:pStyle w:val="1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8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6"/>
      <w:suff w:val="nothing"/>
      <w:lvlText w:val="%1.%2.%3　"/>
      <w:lvlJc w:val="left"/>
      <w:pPr>
        <w:ind w:left="0" w:firstLine="0"/>
      </w:pPr>
      <w:rPr>
        <w:rFonts w:hint="eastAsia" w:ascii="黑体" w:hAnsi="Times New Roman" w:eastAsia="黑体"/>
        <w:b w:val="0"/>
        <w:i w:val="0"/>
        <w:sz w:val="21"/>
      </w:rPr>
    </w:lvl>
    <w:lvl w:ilvl="3" w:tentative="0">
      <w:start w:val="1"/>
      <w:numFmt w:val="decimal"/>
      <w:pStyle w:val="91"/>
      <w:suff w:val="nothing"/>
      <w:lvlText w:val="%1.%2.%3.%4　"/>
      <w:lvlJc w:val="left"/>
      <w:pPr>
        <w:ind w:left="0" w:firstLine="0"/>
      </w:pPr>
      <w:rPr>
        <w:rFonts w:hint="eastAsia" w:ascii="黑体" w:hAnsi="Times New Roman" w:eastAsia="黑体"/>
        <w:b w:val="0"/>
        <w:i w:val="0"/>
        <w:sz w:val="21"/>
      </w:rPr>
    </w:lvl>
    <w:lvl w:ilvl="4" w:tentative="0">
      <w:start w:val="1"/>
      <w:numFmt w:val="decimal"/>
      <w:pStyle w:val="96"/>
      <w:suff w:val="nothing"/>
      <w:lvlText w:val="%1.%2.%3.%4.%5　"/>
      <w:lvlJc w:val="left"/>
      <w:pPr>
        <w:ind w:left="0" w:firstLine="0"/>
      </w:pPr>
      <w:rPr>
        <w:rFonts w:hint="eastAsia" w:ascii="黑体" w:hAnsi="Times New Roman" w:eastAsia="黑体"/>
        <w:b w:val="0"/>
        <w:i w:val="0"/>
        <w:sz w:val="21"/>
      </w:rPr>
    </w:lvl>
    <w:lvl w:ilvl="5" w:tentative="0">
      <w:start w:val="1"/>
      <w:numFmt w:val="decimal"/>
      <w:pStyle w:val="99"/>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08"/>
      <w:lvlText w:val="%1)"/>
      <w:lvlJc w:val="left"/>
      <w:pPr>
        <w:tabs>
          <w:tab w:val="left" w:pos="839"/>
        </w:tabs>
        <w:ind w:left="839" w:hanging="419"/>
      </w:pPr>
      <w:rPr>
        <w:rFonts w:hint="eastAsia" w:ascii="宋体" w:eastAsia="宋体"/>
        <w:b w:val="0"/>
        <w:i w:val="0"/>
        <w:sz w:val="21"/>
      </w:rPr>
    </w:lvl>
    <w:lvl w:ilvl="1" w:tentative="0">
      <w:start w:val="1"/>
      <w:numFmt w:val="decimal"/>
      <w:pStyle w:val="9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6DBF04F4"/>
    <w:multiLevelType w:val="multilevel"/>
    <w:tmpl w:val="6DBF04F4"/>
    <w:lvl w:ilvl="0" w:tentative="0">
      <w:start w:val="1"/>
      <w:numFmt w:val="none"/>
      <w:pStyle w:val="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
    <w:nsid w:val="7760749B"/>
    <w:multiLevelType w:val="multilevel"/>
    <w:tmpl w:val="7760749B"/>
    <w:lvl w:ilvl="0" w:tentative="0">
      <w:start w:val="1"/>
      <w:numFmt w:val="decimal"/>
      <w:pStyle w:val="68"/>
      <w:suff w:val="nothing"/>
      <w:lvlText w:val="注%1："/>
      <w:lvlJc w:val="left"/>
      <w:pPr>
        <w:ind w:left="811" w:hanging="448"/>
      </w:pPr>
      <w:rPr>
        <w:rFonts w:hAns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num w:numId="1">
    <w:abstractNumId w:val="7"/>
  </w:num>
  <w:num w:numId="2">
    <w:abstractNumId w:val="4"/>
  </w:num>
  <w:num w:numId="3">
    <w:abstractNumId w:val="6"/>
  </w:num>
  <w:num w:numId="4">
    <w:abstractNumId w:val="2"/>
  </w:num>
  <w:num w:numId="5">
    <w:abstractNumId w:val="11"/>
  </w:num>
  <w:num w:numId="6">
    <w:abstractNumId w:val="15"/>
  </w:num>
  <w:num w:numId="7">
    <w:abstractNumId w:val="0"/>
  </w:num>
  <w:num w:numId="8">
    <w:abstractNumId w:val="8"/>
  </w:num>
  <w:num w:numId="9">
    <w:abstractNumId w:val="16"/>
  </w:num>
  <w:num w:numId="10">
    <w:abstractNumId w:val="13"/>
  </w:num>
  <w:num w:numId="11">
    <w:abstractNumId w:val="10"/>
  </w:num>
  <w:num w:numId="12">
    <w:abstractNumId w:val="14"/>
  </w:num>
  <w:num w:numId="13">
    <w:abstractNumId w:val="5"/>
  </w:num>
  <w:num w:numId="14">
    <w:abstractNumId w:val="1"/>
  </w:num>
  <w:num w:numId="15">
    <w:abstractNumId w:val="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OTc0Y2EyNThiYTlhMmY4ODlkYWZmNTMzY2UyMWUifQ=="/>
  </w:docVars>
  <w:rsids>
    <w:rsidRoot w:val="5BEC375B"/>
    <w:rsid w:val="00000244"/>
    <w:rsid w:val="0000185F"/>
    <w:rsid w:val="0000586F"/>
    <w:rsid w:val="00013D86"/>
    <w:rsid w:val="00013E02"/>
    <w:rsid w:val="0002143C"/>
    <w:rsid w:val="00025A65"/>
    <w:rsid w:val="00026C31"/>
    <w:rsid w:val="00027280"/>
    <w:rsid w:val="00027321"/>
    <w:rsid w:val="000320A7"/>
    <w:rsid w:val="00034E5D"/>
    <w:rsid w:val="00035925"/>
    <w:rsid w:val="0006023F"/>
    <w:rsid w:val="00067CDF"/>
    <w:rsid w:val="00072763"/>
    <w:rsid w:val="00074FBE"/>
    <w:rsid w:val="00083A09"/>
    <w:rsid w:val="00083E6A"/>
    <w:rsid w:val="0009005E"/>
    <w:rsid w:val="00092857"/>
    <w:rsid w:val="0009420B"/>
    <w:rsid w:val="000A20A9"/>
    <w:rsid w:val="000A3132"/>
    <w:rsid w:val="000A48B1"/>
    <w:rsid w:val="000B3143"/>
    <w:rsid w:val="000C584A"/>
    <w:rsid w:val="000C6B05"/>
    <w:rsid w:val="000C6DD6"/>
    <w:rsid w:val="000C73D4"/>
    <w:rsid w:val="000D3D4C"/>
    <w:rsid w:val="000D3D8A"/>
    <w:rsid w:val="000D4F51"/>
    <w:rsid w:val="000D718B"/>
    <w:rsid w:val="000E0C46"/>
    <w:rsid w:val="000E31EC"/>
    <w:rsid w:val="000F030C"/>
    <w:rsid w:val="000F129C"/>
    <w:rsid w:val="000F4BD7"/>
    <w:rsid w:val="001056DE"/>
    <w:rsid w:val="001124C0"/>
    <w:rsid w:val="00124454"/>
    <w:rsid w:val="0013175F"/>
    <w:rsid w:val="001512B4"/>
    <w:rsid w:val="001544B1"/>
    <w:rsid w:val="00161376"/>
    <w:rsid w:val="001620A5"/>
    <w:rsid w:val="00164E53"/>
    <w:rsid w:val="0016699D"/>
    <w:rsid w:val="00175159"/>
    <w:rsid w:val="00176208"/>
    <w:rsid w:val="0018211B"/>
    <w:rsid w:val="001840D3"/>
    <w:rsid w:val="001900F8"/>
    <w:rsid w:val="00191258"/>
    <w:rsid w:val="00192680"/>
    <w:rsid w:val="00193037"/>
    <w:rsid w:val="00193A2C"/>
    <w:rsid w:val="00197E1A"/>
    <w:rsid w:val="001A2840"/>
    <w:rsid w:val="001A288E"/>
    <w:rsid w:val="001A6EA0"/>
    <w:rsid w:val="001B5A4E"/>
    <w:rsid w:val="001B6DC2"/>
    <w:rsid w:val="001C149C"/>
    <w:rsid w:val="001C21AC"/>
    <w:rsid w:val="001C47BA"/>
    <w:rsid w:val="001C59EA"/>
    <w:rsid w:val="001D406C"/>
    <w:rsid w:val="001D41EE"/>
    <w:rsid w:val="001D4A9D"/>
    <w:rsid w:val="001D4D7A"/>
    <w:rsid w:val="001E0380"/>
    <w:rsid w:val="001E13B1"/>
    <w:rsid w:val="001E33EA"/>
    <w:rsid w:val="001E4D45"/>
    <w:rsid w:val="001E7FF9"/>
    <w:rsid w:val="001F3A19"/>
    <w:rsid w:val="00224203"/>
    <w:rsid w:val="00234467"/>
    <w:rsid w:val="002373F4"/>
    <w:rsid w:val="00237D8D"/>
    <w:rsid w:val="00241DA2"/>
    <w:rsid w:val="00247FEE"/>
    <w:rsid w:val="00250E7D"/>
    <w:rsid w:val="002565D5"/>
    <w:rsid w:val="002622C0"/>
    <w:rsid w:val="002778AE"/>
    <w:rsid w:val="00280EBA"/>
    <w:rsid w:val="00281AF8"/>
    <w:rsid w:val="0028269A"/>
    <w:rsid w:val="00283590"/>
    <w:rsid w:val="00286973"/>
    <w:rsid w:val="00292D2B"/>
    <w:rsid w:val="00294E70"/>
    <w:rsid w:val="002A1924"/>
    <w:rsid w:val="002A4957"/>
    <w:rsid w:val="002A7420"/>
    <w:rsid w:val="002A77D0"/>
    <w:rsid w:val="002B0F12"/>
    <w:rsid w:val="002B1308"/>
    <w:rsid w:val="002B4554"/>
    <w:rsid w:val="002C68DC"/>
    <w:rsid w:val="002C72D8"/>
    <w:rsid w:val="002D11FA"/>
    <w:rsid w:val="002E0DDF"/>
    <w:rsid w:val="002E2906"/>
    <w:rsid w:val="002E5635"/>
    <w:rsid w:val="002E64C3"/>
    <w:rsid w:val="002E6A2C"/>
    <w:rsid w:val="002F1D8C"/>
    <w:rsid w:val="002F21DA"/>
    <w:rsid w:val="002F5718"/>
    <w:rsid w:val="00301E10"/>
    <w:rsid w:val="00301F39"/>
    <w:rsid w:val="003169CB"/>
    <w:rsid w:val="00317141"/>
    <w:rsid w:val="00325926"/>
    <w:rsid w:val="00327A8A"/>
    <w:rsid w:val="00336610"/>
    <w:rsid w:val="0034121F"/>
    <w:rsid w:val="00343F73"/>
    <w:rsid w:val="00345060"/>
    <w:rsid w:val="0035323B"/>
    <w:rsid w:val="003609D2"/>
    <w:rsid w:val="00361689"/>
    <w:rsid w:val="00363F22"/>
    <w:rsid w:val="003652D3"/>
    <w:rsid w:val="00374855"/>
    <w:rsid w:val="00375564"/>
    <w:rsid w:val="00381063"/>
    <w:rsid w:val="00383191"/>
    <w:rsid w:val="003860D2"/>
    <w:rsid w:val="00386DED"/>
    <w:rsid w:val="003912E7"/>
    <w:rsid w:val="00393947"/>
    <w:rsid w:val="003A2275"/>
    <w:rsid w:val="003A6A4F"/>
    <w:rsid w:val="003A7088"/>
    <w:rsid w:val="003B00DF"/>
    <w:rsid w:val="003B1275"/>
    <w:rsid w:val="003B1778"/>
    <w:rsid w:val="003C11CB"/>
    <w:rsid w:val="003C75F3"/>
    <w:rsid w:val="003C78A3"/>
    <w:rsid w:val="003E1867"/>
    <w:rsid w:val="003E44ED"/>
    <w:rsid w:val="003E5729"/>
    <w:rsid w:val="003F01A0"/>
    <w:rsid w:val="003F4EE0"/>
    <w:rsid w:val="00402153"/>
    <w:rsid w:val="00402FC1"/>
    <w:rsid w:val="00414F2A"/>
    <w:rsid w:val="00425082"/>
    <w:rsid w:val="00431DEB"/>
    <w:rsid w:val="00446B29"/>
    <w:rsid w:val="00453F9A"/>
    <w:rsid w:val="00471E91"/>
    <w:rsid w:val="00474675"/>
    <w:rsid w:val="0047470C"/>
    <w:rsid w:val="00485B09"/>
    <w:rsid w:val="00497D19"/>
    <w:rsid w:val="004A318F"/>
    <w:rsid w:val="004A35F9"/>
    <w:rsid w:val="004B24C1"/>
    <w:rsid w:val="004C292F"/>
    <w:rsid w:val="00505638"/>
    <w:rsid w:val="00510280"/>
    <w:rsid w:val="00513D73"/>
    <w:rsid w:val="00514A43"/>
    <w:rsid w:val="00514F6D"/>
    <w:rsid w:val="005174E5"/>
    <w:rsid w:val="00521B05"/>
    <w:rsid w:val="00522393"/>
    <w:rsid w:val="00522620"/>
    <w:rsid w:val="005226D0"/>
    <w:rsid w:val="00522FA3"/>
    <w:rsid w:val="00525656"/>
    <w:rsid w:val="005317BE"/>
    <w:rsid w:val="00534C02"/>
    <w:rsid w:val="0054264B"/>
    <w:rsid w:val="00543786"/>
    <w:rsid w:val="005533D7"/>
    <w:rsid w:val="00562EC0"/>
    <w:rsid w:val="005703DE"/>
    <w:rsid w:val="0058464E"/>
    <w:rsid w:val="0058475D"/>
    <w:rsid w:val="005937B1"/>
    <w:rsid w:val="00596235"/>
    <w:rsid w:val="005A01CB"/>
    <w:rsid w:val="005A2088"/>
    <w:rsid w:val="005A58FF"/>
    <w:rsid w:val="005A5EAF"/>
    <w:rsid w:val="005A64C0"/>
    <w:rsid w:val="005B1ABB"/>
    <w:rsid w:val="005B3C11"/>
    <w:rsid w:val="005C1C28"/>
    <w:rsid w:val="005C6DB5"/>
    <w:rsid w:val="005E19E7"/>
    <w:rsid w:val="005F2072"/>
    <w:rsid w:val="00606312"/>
    <w:rsid w:val="00615EB9"/>
    <w:rsid w:val="0061716C"/>
    <w:rsid w:val="006243A1"/>
    <w:rsid w:val="0063269F"/>
    <w:rsid w:val="00632E56"/>
    <w:rsid w:val="00635CBA"/>
    <w:rsid w:val="0064338B"/>
    <w:rsid w:val="00646542"/>
    <w:rsid w:val="006472E6"/>
    <w:rsid w:val="006504F4"/>
    <w:rsid w:val="00654BC9"/>
    <w:rsid w:val="006552FD"/>
    <w:rsid w:val="00663AF3"/>
    <w:rsid w:val="00666B6C"/>
    <w:rsid w:val="00682682"/>
    <w:rsid w:val="00682702"/>
    <w:rsid w:val="006864A9"/>
    <w:rsid w:val="00692368"/>
    <w:rsid w:val="006A2EBC"/>
    <w:rsid w:val="006A5EA0"/>
    <w:rsid w:val="006A783B"/>
    <w:rsid w:val="006A7B33"/>
    <w:rsid w:val="006B4E13"/>
    <w:rsid w:val="006B75DD"/>
    <w:rsid w:val="006C67E0"/>
    <w:rsid w:val="006C7ABA"/>
    <w:rsid w:val="006D0130"/>
    <w:rsid w:val="006D0D60"/>
    <w:rsid w:val="006D1122"/>
    <w:rsid w:val="006D3C00"/>
    <w:rsid w:val="006E3675"/>
    <w:rsid w:val="006E4A7F"/>
    <w:rsid w:val="006F3EB7"/>
    <w:rsid w:val="006F6177"/>
    <w:rsid w:val="00704DF6"/>
    <w:rsid w:val="0070651C"/>
    <w:rsid w:val="007132A3"/>
    <w:rsid w:val="00716421"/>
    <w:rsid w:val="00723BB3"/>
    <w:rsid w:val="00724EFB"/>
    <w:rsid w:val="007371CA"/>
    <w:rsid w:val="007419C3"/>
    <w:rsid w:val="007467A7"/>
    <w:rsid w:val="007469DD"/>
    <w:rsid w:val="0074741B"/>
    <w:rsid w:val="0074759E"/>
    <w:rsid w:val="007478EA"/>
    <w:rsid w:val="0075415C"/>
    <w:rsid w:val="00763502"/>
    <w:rsid w:val="00770317"/>
    <w:rsid w:val="0077555A"/>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19E4"/>
    <w:rsid w:val="0080654C"/>
    <w:rsid w:val="008071C6"/>
    <w:rsid w:val="00812FE8"/>
    <w:rsid w:val="008155C9"/>
    <w:rsid w:val="00817A00"/>
    <w:rsid w:val="008302E5"/>
    <w:rsid w:val="00835DB3"/>
    <w:rsid w:val="0083617B"/>
    <w:rsid w:val="008371BD"/>
    <w:rsid w:val="00843240"/>
    <w:rsid w:val="00843EB5"/>
    <w:rsid w:val="008504A8"/>
    <w:rsid w:val="0085282E"/>
    <w:rsid w:val="00853A56"/>
    <w:rsid w:val="0087198C"/>
    <w:rsid w:val="00872C1F"/>
    <w:rsid w:val="00873B42"/>
    <w:rsid w:val="008856D8"/>
    <w:rsid w:val="00892E82"/>
    <w:rsid w:val="008C1B58"/>
    <w:rsid w:val="008C39AE"/>
    <w:rsid w:val="008C590D"/>
    <w:rsid w:val="008E031B"/>
    <w:rsid w:val="008E04A6"/>
    <w:rsid w:val="008E7029"/>
    <w:rsid w:val="008E7EF6"/>
    <w:rsid w:val="008F1F98"/>
    <w:rsid w:val="008F6758"/>
    <w:rsid w:val="009040DD"/>
    <w:rsid w:val="00905B47"/>
    <w:rsid w:val="0091331C"/>
    <w:rsid w:val="009279DE"/>
    <w:rsid w:val="00930116"/>
    <w:rsid w:val="0094212C"/>
    <w:rsid w:val="00942954"/>
    <w:rsid w:val="00954689"/>
    <w:rsid w:val="009617C9"/>
    <w:rsid w:val="00961C93"/>
    <w:rsid w:val="00965324"/>
    <w:rsid w:val="0097091E"/>
    <w:rsid w:val="009760D3"/>
    <w:rsid w:val="00977132"/>
    <w:rsid w:val="00981A4B"/>
    <w:rsid w:val="00982501"/>
    <w:rsid w:val="009877D3"/>
    <w:rsid w:val="00994E8F"/>
    <w:rsid w:val="009951DC"/>
    <w:rsid w:val="009959BB"/>
    <w:rsid w:val="0099630E"/>
    <w:rsid w:val="00997158"/>
    <w:rsid w:val="009A3A7C"/>
    <w:rsid w:val="009A3C24"/>
    <w:rsid w:val="009B2ADB"/>
    <w:rsid w:val="009B3039"/>
    <w:rsid w:val="009B603A"/>
    <w:rsid w:val="009C2D0E"/>
    <w:rsid w:val="009C3DAC"/>
    <w:rsid w:val="009C42E0"/>
    <w:rsid w:val="009D517C"/>
    <w:rsid w:val="009D5362"/>
    <w:rsid w:val="009E1415"/>
    <w:rsid w:val="009E6116"/>
    <w:rsid w:val="00A02E43"/>
    <w:rsid w:val="00A065F9"/>
    <w:rsid w:val="00A07F34"/>
    <w:rsid w:val="00A22154"/>
    <w:rsid w:val="00A22FD6"/>
    <w:rsid w:val="00A25C38"/>
    <w:rsid w:val="00A36BBE"/>
    <w:rsid w:val="00A4307A"/>
    <w:rsid w:val="00A47EBB"/>
    <w:rsid w:val="00A51CDD"/>
    <w:rsid w:val="00A6730D"/>
    <w:rsid w:val="00A71625"/>
    <w:rsid w:val="00A71B9B"/>
    <w:rsid w:val="00A751C7"/>
    <w:rsid w:val="00A87844"/>
    <w:rsid w:val="00A910A6"/>
    <w:rsid w:val="00AA038C"/>
    <w:rsid w:val="00AA7A09"/>
    <w:rsid w:val="00AB3B50"/>
    <w:rsid w:val="00AB4432"/>
    <w:rsid w:val="00AC05B1"/>
    <w:rsid w:val="00AD356C"/>
    <w:rsid w:val="00AE0E7E"/>
    <w:rsid w:val="00AE2914"/>
    <w:rsid w:val="00AE6D15"/>
    <w:rsid w:val="00AF1D32"/>
    <w:rsid w:val="00AF4625"/>
    <w:rsid w:val="00B04182"/>
    <w:rsid w:val="00B07AE3"/>
    <w:rsid w:val="00B11430"/>
    <w:rsid w:val="00B353EB"/>
    <w:rsid w:val="00B439C4"/>
    <w:rsid w:val="00B43CA5"/>
    <w:rsid w:val="00B4535E"/>
    <w:rsid w:val="00B52A8C"/>
    <w:rsid w:val="00B535AB"/>
    <w:rsid w:val="00B60FDA"/>
    <w:rsid w:val="00B636A8"/>
    <w:rsid w:val="00B665C6"/>
    <w:rsid w:val="00B741E0"/>
    <w:rsid w:val="00B749EC"/>
    <w:rsid w:val="00B805AF"/>
    <w:rsid w:val="00B869EC"/>
    <w:rsid w:val="00B9397A"/>
    <w:rsid w:val="00B9633D"/>
    <w:rsid w:val="00BA2EBE"/>
    <w:rsid w:val="00BB0F28"/>
    <w:rsid w:val="00BB458A"/>
    <w:rsid w:val="00BD00D3"/>
    <w:rsid w:val="00BD1659"/>
    <w:rsid w:val="00BD3AA9"/>
    <w:rsid w:val="00BD4A18"/>
    <w:rsid w:val="00BD6DB2"/>
    <w:rsid w:val="00BE11CF"/>
    <w:rsid w:val="00BE1463"/>
    <w:rsid w:val="00BE21AB"/>
    <w:rsid w:val="00BE55CB"/>
    <w:rsid w:val="00BF617A"/>
    <w:rsid w:val="00C0379D"/>
    <w:rsid w:val="00C03931"/>
    <w:rsid w:val="00C05FE3"/>
    <w:rsid w:val="00C2136D"/>
    <w:rsid w:val="00C214EE"/>
    <w:rsid w:val="00C2204C"/>
    <w:rsid w:val="00C2314B"/>
    <w:rsid w:val="00C24971"/>
    <w:rsid w:val="00C26BE5"/>
    <w:rsid w:val="00C26E4D"/>
    <w:rsid w:val="00C27909"/>
    <w:rsid w:val="00C27B03"/>
    <w:rsid w:val="00C306E5"/>
    <w:rsid w:val="00C30732"/>
    <w:rsid w:val="00C314E1"/>
    <w:rsid w:val="00C34397"/>
    <w:rsid w:val="00C4095D"/>
    <w:rsid w:val="00C431D9"/>
    <w:rsid w:val="00C46107"/>
    <w:rsid w:val="00C601D2"/>
    <w:rsid w:val="00C60D2E"/>
    <w:rsid w:val="00C657AB"/>
    <w:rsid w:val="00C65BCC"/>
    <w:rsid w:val="00C66970"/>
    <w:rsid w:val="00C8691C"/>
    <w:rsid w:val="00C87B77"/>
    <w:rsid w:val="00CA168A"/>
    <w:rsid w:val="00CA357E"/>
    <w:rsid w:val="00CA44F9"/>
    <w:rsid w:val="00CA4A69"/>
    <w:rsid w:val="00CB29AA"/>
    <w:rsid w:val="00CC3E0C"/>
    <w:rsid w:val="00CC58D3"/>
    <w:rsid w:val="00CC784D"/>
    <w:rsid w:val="00CD2F8A"/>
    <w:rsid w:val="00CE4260"/>
    <w:rsid w:val="00D02C19"/>
    <w:rsid w:val="00D0337B"/>
    <w:rsid w:val="00D079B2"/>
    <w:rsid w:val="00D114E9"/>
    <w:rsid w:val="00D429C6"/>
    <w:rsid w:val="00D47748"/>
    <w:rsid w:val="00D47B43"/>
    <w:rsid w:val="00D52638"/>
    <w:rsid w:val="00D54CC3"/>
    <w:rsid w:val="00D6041A"/>
    <w:rsid w:val="00D633EB"/>
    <w:rsid w:val="00D71A65"/>
    <w:rsid w:val="00D82FF7"/>
    <w:rsid w:val="00D847FE"/>
    <w:rsid w:val="00D879C8"/>
    <w:rsid w:val="00D92BFD"/>
    <w:rsid w:val="00D964EA"/>
    <w:rsid w:val="00D966D0"/>
    <w:rsid w:val="00DA0C59"/>
    <w:rsid w:val="00DA3991"/>
    <w:rsid w:val="00DA69E1"/>
    <w:rsid w:val="00DB7E6C"/>
    <w:rsid w:val="00DD5A29"/>
    <w:rsid w:val="00DD5D9D"/>
    <w:rsid w:val="00DE35CB"/>
    <w:rsid w:val="00DF21E9"/>
    <w:rsid w:val="00E00F14"/>
    <w:rsid w:val="00E061DE"/>
    <w:rsid w:val="00E06386"/>
    <w:rsid w:val="00E16095"/>
    <w:rsid w:val="00E24EB4"/>
    <w:rsid w:val="00E320ED"/>
    <w:rsid w:val="00E33AFB"/>
    <w:rsid w:val="00E34218"/>
    <w:rsid w:val="00E44FF2"/>
    <w:rsid w:val="00E46282"/>
    <w:rsid w:val="00E5177C"/>
    <w:rsid w:val="00E5216E"/>
    <w:rsid w:val="00E7299F"/>
    <w:rsid w:val="00E82344"/>
    <w:rsid w:val="00E84C82"/>
    <w:rsid w:val="00E84D64"/>
    <w:rsid w:val="00E87408"/>
    <w:rsid w:val="00E914C4"/>
    <w:rsid w:val="00E934F5"/>
    <w:rsid w:val="00E96961"/>
    <w:rsid w:val="00E97089"/>
    <w:rsid w:val="00EA4C05"/>
    <w:rsid w:val="00EA72EC"/>
    <w:rsid w:val="00EB11CB"/>
    <w:rsid w:val="00EB275A"/>
    <w:rsid w:val="00EB786A"/>
    <w:rsid w:val="00EC1578"/>
    <w:rsid w:val="00EC1C72"/>
    <w:rsid w:val="00EC3CC9"/>
    <w:rsid w:val="00EC680A"/>
    <w:rsid w:val="00ED4F3E"/>
    <w:rsid w:val="00EE2BED"/>
    <w:rsid w:val="00EE374B"/>
    <w:rsid w:val="00EE7647"/>
    <w:rsid w:val="00EF0F7A"/>
    <w:rsid w:val="00F01450"/>
    <w:rsid w:val="00F11BB5"/>
    <w:rsid w:val="00F1417B"/>
    <w:rsid w:val="00F24EB0"/>
    <w:rsid w:val="00F31E50"/>
    <w:rsid w:val="00F34B99"/>
    <w:rsid w:val="00F46C6E"/>
    <w:rsid w:val="00F52DAB"/>
    <w:rsid w:val="00F543F0"/>
    <w:rsid w:val="00F56C67"/>
    <w:rsid w:val="00F616E8"/>
    <w:rsid w:val="00F61B02"/>
    <w:rsid w:val="00F76DC3"/>
    <w:rsid w:val="00F81D29"/>
    <w:rsid w:val="00F91C4D"/>
    <w:rsid w:val="00F92692"/>
    <w:rsid w:val="00F92FD9"/>
    <w:rsid w:val="00F934CF"/>
    <w:rsid w:val="00FA6684"/>
    <w:rsid w:val="00FA731E"/>
    <w:rsid w:val="00FB2B38"/>
    <w:rsid w:val="00FB7F27"/>
    <w:rsid w:val="00FC6358"/>
    <w:rsid w:val="00FD172D"/>
    <w:rsid w:val="00FD320D"/>
    <w:rsid w:val="00FE23DE"/>
    <w:rsid w:val="01B75BE1"/>
    <w:rsid w:val="04E35A1E"/>
    <w:rsid w:val="05D7137C"/>
    <w:rsid w:val="05DB353B"/>
    <w:rsid w:val="08965477"/>
    <w:rsid w:val="093A315F"/>
    <w:rsid w:val="0B1D561F"/>
    <w:rsid w:val="0C696FC1"/>
    <w:rsid w:val="13FD8BCB"/>
    <w:rsid w:val="142D25D1"/>
    <w:rsid w:val="150D2218"/>
    <w:rsid w:val="153E1C4C"/>
    <w:rsid w:val="17336B01"/>
    <w:rsid w:val="17442A24"/>
    <w:rsid w:val="176F11A3"/>
    <w:rsid w:val="17E560E0"/>
    <w:rsid w:val="18682D4D"/>
    <w:rsid w:val="1DCF707B"/>
    <w:rsid w:val="1EDF927E"/>
    <w:rsid w:val="1F9B5EE6"/>
    <w:rsid w:val="20DC7532"/>
    <w:rsid w:val="21503691"/>
    <w:rsid w:val="217C1B04"/>
    <w:rsid w:val="27BF8999"/>
    <w:rsid w:val="2C6A7322"/>
    <w:rsid w:val="2C712FE0"/>
    <w:rsid w:val="2C855108"/>
    <w:rsid w:val="2C922EEA"/>
    <w:rsid w:val="2F99263B"/>
    <w:rsid w:val="2FEF4B24"/>
    <w:rsid w:val="35F10A3B"/>
    <w:rsid w:val="36985DB9"/>
    <w:rsid w:val="37F1200C"/>
    <w:rsid w:val="39A93AB3"/>
    <w:rsid w:val="3B9C19CE"/>
    <w:rsid w:val="3BDC091A"/>
    <w:rsid w:val="3C7D4ABF"/>
    <w:rsid w:val="3DDF1E1C"/>
    <w:rsid w:val="3F9B70E3"/>
    <w:rsid w:val="3FCF4EBA"/>
    <w:rsid w:val="3FFFD04E"/>
    <w:rsid w:val="42496853"/>
    <w:rsid w:val="42791C54"/>
    <w:rsid w:val="428270C4"/>
    <w:rsid w:val="4284466C"/>
    <w:rsid w:val="440924CB"/>
    <w:rsid w:val="451F074E"/>
    <w:rsid w:val="45DD9BBA"/>
    <w:rsid w:val="49BB2729"/>
    <w:rsid w:val="4B8E08C3"/>
    <w:rsid w:val="4C60393C"/>
    <w:rsid w:val="4CD93F23"/>
    <w:rsid w:val="4DFEE98A"/>
    <w:rsid w:val="4F321D80"/>
    <w:rsid w:val="51DF13F8"/>
    <w:rsid w:val="537C0DD5"/>
    <w:rsid w:val="563B3DBF"/>
    <w:rsid w:val="56FE2FC7"/>
    <w:rsid w:val="57EEC692"/>
    <w:rsid w:val="582E2AED"/>
    <w:rsid w:val="594F07AA"/>
    <w:rsid w:val="5B171E93"/>
    <w:rsid w:val="5B9C6858"/>
    <w:rsid w:val="5B9F85AD"/>
    <w:rsid w:val="5BEC375B"/>
    <w:rsid w:val="5D6D33B1"/>
    <w:rsid w:val="5D9ED6E8"/>
    <w:rsid w:val="5DEEAED8"/>
    <w:rsid w:val="5EA21A12"/>
    <w:rsid w:val="5EFB843A"/>
    <w:rsid w:val="5FAD7A42"/>
    <w:rsid w:val="5FF780D2"/>
    <w:rsid w:val="608749BD"/>
    <w:rsid w:val="61297300"/>
    <w:rsid w:val="622B6EF8"/>
    <w:rsid w:val="65E621D9"/>
    <w:rsid w:val="67F91881"/>
    <w:rsid w:val="67FC08BD"/>
    <w:rsid w:val="6A3538FB"/>
    <w:rsid w:val="6B270921"/>
    <w:rsid w:val="6B561A74"/>
    <w:rsid w:val="6BDD3C18"/>
    <w:rsid w:val="6FAFA8A2"/>
    <w:rsid w:val="6FE60FA5"/>
    <w:rsid w:val="6FFE3751"/>
    <w:rsid w:val="73BD92F2"/>
    <w:rsid w:val="73FAA537"/>
    <w:rsid w:val="741B2C62"/>
    <w:rsid w:val="74E97204"/>
    <w:rsid w:val="752C2C08"/>
    <w:rsid w:val="7576262D"/>
    <w:rsid w:val="75A831F5"/>
    <w:rsid w:val="76EF5F37"/>
    <w:rsid w:val="77D35E3B"/>
    <w:rsid w:val="79580151"/>
    <w:rsid w:val="798B97BB"/>
    <w:rsid w:val="79FF2AE2"/>
    <w:rsid w:val="7A9D492F"/>
    <w:rsid w:val="7BD13C1E"/>
    <w:rsid w:val="7BEDE4D0"/>
    <w:rsid w:val="7CFCB2EB"/>
    <w:rsid w:val="7DE79F09"/>
    <w:rsid w:val="7DFF6635"/>
    <w:rsid w:val="7E3F69AF"/>
    <w:rsid w:val="7EFFAD95"/>
    <w:rsid w:val="7F735114"/>
    <w:rsid w:val="7F9B3143"/>
    <w:rsid w:val="7FF947A4"/>
    <w:rsid w:val="9665AD70"/>
    <w:rsid w:val="9BF99D0D"/>
    <w:rsid w:val="AEFFD256"/>
    <w:rsid w:val="B6CFC3E4"/>
    <w:rsid w:val="B77B391B"/>
    <w:rsid w:val="BAEFDA89"/>
    <w:rsid w:val="BFB9E8C5"/>
    <w:rsid w:val="BFC677A8"/>
    <w:rsid w:val="C5FD5433"/>
    <w:rsid w:val="CDEEB337"/>
    <w:rsid w:val="CFAFD2AC"/>
    <w:rsid w:val="CFB70632"/>
    <w:rsid w:val="DAF62E7B"/>
    <w:rsid w:val="DFFE1993"/>
    <w:rsid w:val="E97D62B6"/>
    <w:rsid w:val="EC9FF010"/>
    <w:rsid w:val="EEFFA308"/>
    <w:rsid w:val="EF979628"/>
    <w:rsid w:val="EFD9240B"/>
    <w:rsid w:val="EFFF47F1"/>
    <w:rsid w:val="F1FFF59C"/>
    <w:rsid w:val="F2FF5086"/>
    <w:rsid w:val="F9C70A92"/>
    <w:rsid w:val="F9F6E86B"/>
    <w:rsid w:val="FC87BFE9"/>
    <w:rsid w:val="FEBBBAFD"/>
    <w:rsid w:val="FEF74B36"/>
    <w:rsid w:val="FF7DB8CB"/>
    <w:rsid w:val="FF7F1EEF"/>
    <w:rsid w:val="FF7F769E"/>
    <w:rsid w:val="FFBCADC2"/>
    <w:rsid w:val="FFBFA684"/>
    <w:rsid w:val="FFDFB7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41"/>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42"/>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semiHidden/>
    <w:qFormat/>
    <w:uiPriority w:val="0"/>
    <w:pPr>
      <w:tabs>
        <w:tab w:val="right" w:leader="dot" w:pos="9242"/>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8"/>
    <w:next w:val="8"/>
    <w:link w:val="44"/>
    <w:unhideWhenUsed/>
    <w:qFormat/>
    <w:uiPriority w:val="0"/>
    <w:rPr>
      <w:b/>
      <w:bCs/>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0"/>
    <w:rPr>
      <w:color w:val="0000FF"/>
      <w:spacing w:val="0"/>
      <w:w w:val="100"/>
      <w:szCs w:val="21"/>
      <w:u w:val="single"/>
    </w:rPr>
  </w:style>
  <w:style w:type="character" w:styleId="39">
    <w:name w:val="annotation reference"/>
    <w:unhideWhenUsed/>
    <w:qFormat/>
    <w:uiPriority w:val="0"/>
    <w:rPr>
      <w:sz w:val="21"/>
      <w:szCs w:val="21"/>
    </w:rPr>
  </w:style>
  <w:style w:type="character" w:styleId="40">
    <w:name w:val="footnote reference"/>
    <w:semiHidden/>
    <w:qFormat/>
    <w:uiPriority w:val="0"/>
    <w:rPr>
      <w:vertAlign w:val="superscript"/>
    </w:rPr>
  </w:style>
  <w:style w:type="character" w:customStyle="1" w:styleId="41">
    <w:name w:val="批注文字 字符"/>
    <w:link w:val="8"/>
    <w:qFormat/>
    <w:uiPriority w:val="0"/>
    <w:rPr>
      <w:kern w:val="2"/>
      <w:sz w:val="21"/>
      <w:szCs w:val="24"/>
    </w:rPr>
  </w:style>
  <w:style w:type="character" w:customStyle="1" w:styleId="42">
    <w:name w:val="批注框文本 字符"/>
    <w:link w:val="16"/>
    <w:qFormat/>
    <w:uiPriority w:val="0"/>
    <w:rPr>
      <w:kern w:val="2"/>
      <w:sz w:val="18"/>
      <w:szCs w:val="18"/>
    </w:rPr>
  </w:style>
  <w:style w:type="character" w:customStyle="1" w:styleId="43">
    <w:name w:val="段 Char"/>
    <w:link w:val="23"/>
    <w:qFormat/>
    <w:uiPriority w:val="0"/>
    <w:rPr>
      <w:rFonts w:ascii="宋体"/>
      <w:sz w:val="21"/>
      <w:lang w:val="en-US" w:eastAsia="zh-CN" w:bidi="ar-SA"/>
    </w:rPr>
  </w:style>
  <w:style w:type="character" w:customStyle="1" w:styleId="44">
    <w:name w:val="批注主题 字符"/>
    <w:link w:val="31"/>
    <w:semiHidden/>
    <w:qFormat/>
    <w:uiPriority w:val="0"/>
    <w:rPr>
      <w:b/>
      <w:bCs/>
      <w:kern w:val="2"/>
      <w:sz w:val="21"/>
      <w:szCs w:val="24"/>
    </w:rPr>
  </w:style>
  <w:style w:type="paragraph" w:customStyle="1" w:styleId="45">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9">
    <w:name w:val="二级条标题"/>
    <w:basedOn w:val="45"/>
    <w:next w:val="23"/>
    <w:qFormat/>
    <w:uiPriority w:val="0"/>
    <w:pPr>
      <w:numPr>
        <w:ilvl w:val="2"/>
      </w:numPr>
      <w:spacing w:before="50" w:after="50"/>
      <w:outlineLvl w:val="3"/>
    </w:pPr>
  </w:style>
  <w:style w:type="paragraph" w:customStyle="1" w:styleId="5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2">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3">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4">
    <w:name w:val="三级条标题"/>
    <w:basedOn w:val="49"/>
    <w:next w:val="23"/>
    <w:qFormat/>
    <w:uiPriority w:val="0"/>
    <w:pPr>
      <w:numPr>
        <w:ilvl w:val="3"/>
      </w:numPr>
      <w:outlineLvl w:val="4"/>
    </w:pPr>
  </w:style>
  <w:style w:type="paragraph" w:customStyle="1" w:styleId="55">
    <w:name w:val="示例"/>
    <w:next w:val="56"/>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7">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8">
    <w:name w:val="四级条标题"/>
    <w:basedOn w:val="54"/>
    <w:next w:val="23"/>
    <w:qFormat/>
    <w:uiPriority w:val="0"/>
    <w:pPr>
      <w:numPr>
        <w:ilvl w:val="4"/>
      </w:numPr>
      <w:outlineLvl w:val="5"/>
    </w:pPr>
  </w:style>
  <w:style w:type="paragraph" w:customStyle="1" w:styleId="59">
    <w:name w:val="五级条标题"/>
    <w:basedOn w:val="58"/>
    <w:next w:val="23"/>
    <w:qFormat/>
    <w:uiPriority w:val="0"/>
    <w:pPr>
      <w:numPr>
        <w:ilvl w:val="5"/>
      </w:numPr>
      <w:outlineLvl w:val="6"/>
    </w:pPr>
  </w:style>
  <w:style w:type="paragraph" w:customStyle="1" w:styleId="60">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1">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2">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3">
    <w:name w:val="列项◆（三级）"/>
    <w:basedOn w:val="1"/>
    <w:qFormat/>
    <w:uiPriority w:val="0"/>
    <w:pPr>
      <w:numPr>
        <w:ilvl w:val="2"/>
        <w:numId w:val="3"/>
      </w:numPr>
    </w:pPr>
    <w:rPr>
      <w:rFonts w:ascii="宋体"/>
      <w:szCs w:val="21"/>
    </w:rPr>
  </w:style>
  <w:style w:type="paragraph" w:customStyle="1" w:styleId="64">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5">
    <w:name w:val="示例×："/>
    <w:basedOn w:val="48"/>
    <w:qFormat/>
    <w:uiPriority w:val="0"/>
    <w:pPr>
      <w:numPr>
        <w:numId w:val="8"/>
      </w:numPr>
      <w:spacing w:beforeLines="0" w:afterLines="0"/>
      <w:outlineLvl w:val="9"/>
    </w:pPr>
    <w:rPr>
      <w:rFonts w:ascii="宋体" w:eastAsia="宋体"/>
      <w:sz w:val="18"/>
      <w:szCs w:val="18"/>
    </w:rPr>
  </w:style>
  <w:style w:type="paragraph" w:customStyle="1" w:styleId="66">
    <w:name w:val="二级无"/>
    <w:basedOn w:val="49"/>
    <w:qFormat/>
    <w:uiPriority w:val="0"/>
    <w:pPr>
      <w:spacing w:before="0" w:beforeLines="0" w:after="0" w:afterLines="0"/>
    </w:pPr>
    <w:rPr>
      <w:rFonts w:ascii="宋体" w:eastAsia="宋体"/>
    </w:rPr>
  </w:style>
  <w:style w:type="paragraph" w:customStyle="1" w:styleId="67">
    <w:name w:val="注：（正文）"/>
    <w:basedOn w:val="60"/>
    <w:next w:val="23"/>
    <w:qFormat/>
    <w:uiPriority w:val="0"/>
  </w:style>
  <w:style w:type="paragraph" w:customStyle="1" w:styleId="68">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2">
    <w:name w:val="标准书眉_偶数页"/>
    <w:basedOn w:val="47"/>
    <w:next w:val="1"/>
    <w:qFormat/>
    <w:uiPriority w:val="0"/>
    <w:pPr>
      <w:jc w:val="left"/>
    </w:pPr>
  </w:style>
  <w:style w:type="paragraph" w:customStyle="1" w:styleId="73">
    <w:name w:val="标准书眉一"/>
    <w:qFormat/>
    <w:uiPriority w:val="0"/>
    <w:pPr>
      <w:jc w:val="both"/>
    </w:pPr>
    <w:rPr>
      <w:rFonts w:ascii="Times New Roman" w:hAnsi="Times New Roman" w:eastAsia="宋体" w:cs="Times New Roman"/>
      <w:lang w:val="en-US" w:eastAsia="zh-CN" w:bidi="ar-SA"/>
    </w:rPr>
  </w:style>
  <w:style w:type="paragraph" w:customStyle="1" w:styleId="74">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6">
    <w:name w:val="发布"/>
    <w:qFormat/>
    <w:uiPriority w:val="0"/>
    <w:rPr>
      <w:rFonts w:ascii="黑体" w:eastAsia="黑体"/>
      <w:spacing w:val="85"/>
      <w:w w:val="100"/>
      <w:position w:val="3"/>
      <w:sz w:val="28"/>
      <w:szCs w:val="28"/>
    </w:rPr>
  </w:style>
  <w:style w:type="paragraph" w:customStyle="1" w:styleId="77">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
    <w:basedOn w:val="81"/>
    <w:qFormat/>
    <w:uiPriority w:val="0"/>
    <w:pPr>
      <w:spacing w:before="370" w:line="400" w:lineRule="exact"/>
    </w:pPr>
    <w:rPr>
      <w:rFonts w:ascii="Times New Roman"/>
      <w:sz w:val="28"/>
      <w:szCs w:val="28"/>
    </w:rPr>
  </w:style>
  <w:style w:type="paragraph" w:customStyle="1" w:styleId="83">
    <w:name w:val="封面一致性程度标识"/>
    <w:basedOn w:val="82"/>
    <w:qFormat/>
    <w:uiPriority w:val="0"/>
    <w:pPr>
      <w:spacing w:before="440"/>
    </w:pPr>
    <w:rPr>
      <w:rFonts w:ascii="宋体" w:eastAsia="宋体"/>
    </w:rPr>
  </w:style>
  <w:style w:type="paragraph" w:customStyle="1" w:styleId="84">
    <w:name w:val="封面标准文稿类别"/>
    <w:basedOn w:val="83"/>
    <w:qFormat/>
    <w:uiPriority w:val="0"/>
    <w:pPr>
      <w:spacing w:after="160" w:line="240" w:lineRule="auto"/>
    </w:pPr>
    <w:rPr>
      <w:sz w:val="24"/>
    </w:rPr>
  </w:style>
  <w:style w:type="paragraph" w:customStyle="1" w:styleId="85">
    <w:name w:val="封面标准文稿编辑信息"/>
    <w:basedOn w:val="84"/>
    <w:qFormat/>
    <w:uiPriority w:val="0"/>
    <w:pPr>
      <w:spacing w:before="180" w:line="180" w:lineRule="exact"/>
    </w:pPr>
    <w:rPr>
      <w:sz w:val="21"/>
    </w:rPr>
  </w:style>
  <w:style w:type="paragraph" w:customStyle="1" w:styleId="86">
    <w:name w:val="封面正文"/>
    <w:qFormat/>
    <w:uiPriority w:val="0"/>
    <w:pPr>
      <w:jc w:val="both"/>
    </w:pPr>
    <w:rPr>
      <w:rFonts w:ascii="Times New Roman" w:hAnsi="Times New Roman" w:eastAsia="宋体" w:cs="Times New Roman"/>
      <w:lang w:val="en-US" w:eastAsia="zh-CN" w:bidi="ar-SA"/>
    </w:rPr>
  </w:style>
  <w:style w:type="paragraph" w:customStyle="1" w:styleId="87">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附录标题"/>
    <w:basedOn w:val="23"/>
    <w:next w:val="23"/>
    <w:qFormat/>
    <w:uiPriority w:val="0"/>
    <w:pPr>
      <w:ind w:firstLine="0" w:firstLineChars="0"/>
      <w:jc w:val="center"/>
    </w:pPr>
    <w:rPr>
      <w:rFonts w:ascii="黑体" w:eastAsia="黑体"/>
    </w:rPr>
  </w:style>
  <w:style w:type="paragraph" w:customStyle="1" w:styleId="89">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0">
    <w:name w:val="附录表标题"/>
    <w:basedOn w:val="1"/>
    <w:next w:val="23"/>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1">
    <w:name w:val="附录二级条标题"/>
    <w:basedOn w:val="1"/>
    <w:next w:val="23"/>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2">
    <w:name w:val="附录二级无"/>
    <w:basedOn w:val="91"/>
    <w:qFormat/>
    <w:uiPriority w:val="0"/>
    <w:pPr>
      <w:tabs>
        <w:tab w:val="clear" w:pos="360"/>
      </w:tabs>
      <w:spacing w:beforeLines="0" w:afterLines="0"/>
    </w:pPr>
    <w:rPr>
      <w:rFonts w:ascii="宋体" w:eastAsia="宋体"/>
      <w:szCs w:val="21"/>
    </w:rPr>
  </w:style>
  <w:style w:type="paragraph" w:customStyle="1" w:styleId="93">
    <w:name w:val="附录公式"/>
    <w:basedOn w:val="23"/>
    <w:next w:val="23"/>
    <w:link w:val="94"/>
    <w:qFormat/>
    <w:uiPriority w:val="0"/>
  </w:style>
  <w:style w:type="character" w:customStyle="1" w:styleId="94">
    <w:name w:val="附录公式 Char"/>
    <w:link w:val="93"/>
    <w:qFormat/>
    <w:uiPriority w:val="0"/>
    <w:rPr>
      <w:rFonts w:ascii="宋体"/>
      <w:sz w:val="21"/>
      <w:lang w:val="en-US" w:eastAsia="zh-CN" w:bidi="ar-SA"/>
    </w:rPr>
  </w:style>
  <w:style w:type="paragraph" w:customStyle="1" w:styleId="95">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6">
    <w:name w:val="附录三级条标题"/>
    <w:basedOn w:val="91"/>
    <w:next w:val="23"/>
    <w:qFormat/>
    <w:uiPriority w:val="0"/>
    <w:pPr>
      <w:numPr>
        <w:ilvl w:val="4"/>
      </w:numPr>
      <w:outlineLvl w:val="4"/>
    </w:pPr>
  </w:style>
  <w:style w:type="paragraph" w:customStyle="1" w:styleId="97">
    <w:name w:val="附录三级无"/>
    <w:basedOn w:val="96"/>
    <w:qFormat/>
    <w:uiPriority w:val="0"/>
    <w:pPr>
      <w:tabs>
        <w:tab w:val="clear" w:pos="360"/>
      </w:tabs>
      <w:spacing w:beforeLines="0" w:afterLines="0"/>
    </w:pPr>
    <w:rPr>
      <w:rFonts w:ascii="宋体" w:eastAsia="宋体"/>
      <w:szCs w:val="21"/>
    </w:rPr>
  </w:style>
  <w:style w:type="paragraph" w:customStyle="1" w:styleId="98">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9">
    <w:name w:val="附录四级条标题"/>
    <w:basedOn w:val="96"/>
    <w:next w:val="23"/>
    <w:qFormat/>
    <w:uiPriority w:val="0"/>
    <w:pPr>
      <w:numPr>
        <w:ilvl w:val="5"/>
      </w:numPr>
      <w:outlineLvl w:val="5"/>
    </w:pPr>
  </w:style>
  <w:style w:type="paragraph" w:customStyle="1" w:styleId="100">
    <w:name w:val="附录四级无"/>
    <w:basedOn w:val="99"/>
    <w:qFormat/>
    <w:uiPriority w:val="0"/>
    <w:pPr>
      <w:tabs>
        <w:tab w:val="clear" w:pos="360"/>
      </w:tabs>
      <w:spacing w:beforeLines="0" w:afterLines="0"/>
    </w:pPr>
    <w:rPr>
      <w:rFonts w:ascii="宋体" w:eastAsia="宋体"/>
      <w:szCs w:val="21"/>
    </w:rPr>
  </w:style>
  <w:style w:type="paragraph" w:customStyle="1" w:styleId="101">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2">
    <w:name w:val="附录图标题"/>
    <w:basedOn w:val="1"/>
    <w:next w:val="23"/>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3">
    <w:name w:val="附录五级条标题"/>
    <w:basedOn w:val="99"/>
    <w:next w:val="23"/>
    <w:qFormat/>
    <w:uiPriority w:val="0"/>
    <w:pPr>
      <w:numPr>
        <w:ilvl w:val="6"/>
      </w:numPr>
      <w:outlineLvl w:val="6"/>
    </w:pPr>
  </w:style>
  <w:style w:type="paragraph" w:customStyle="1" w:styleId="104">
    <w:name w:val="附录五级无"/>
    <w:basedOn w:val="103"/>
    <w:qFormat/>
    <w:uiPriority w:val="0"/>
    <w:pPr>
      <w:tabs>
        <w:tab w:val="clear" w:pos="360"/>
      </w:tabs>
      <w:spacing w:beforeLines="0" w:afterLines="0"/>
    </w:pPr>
    <w:rPr>
      <w:rFonts w:ascii="宋体" w:eastAsia="宋体"/>
      <w:szCs w:val="21"/>
    </w:rPr>
  </w:style>
  <w:style w:type="paragraph" w:customStyle="1" w:styleId="105">
    <w:name w:val="附录章标题"/>
    <w:next w:val="23"/>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一级条标题"/>
    <w:basedOn w:val="105"/>
    <w:next w:val="23"/>
    <w:qFormat/>
    <w:uiPriority w:val="0"/>
    <w:pPr>
      <w:numPr>
        <w:ilvl w:val="2"/>
      </w:numPr>
      <w:autoSpaceDN w:val="0"/>
      <w:spacing w:beforeLines="50" w:afterLines="50"/>
      <w:outlineLvl w:val="2"/>
    </w:pPr>
  </w:style>
  <w:style w:type="paragraph" w:customStyle="1" w:styleId="107">
    <w:name w:val="附录一级无"/>
    <w:basedOn w:val="106"/>
    <w:qFormat/>
    <w:uiPriority w:val="0"/>
    <w:pPr>
      <w:tabs>
        <w:tab w:val="clear" w:pos="360"/>
      </w:tabs>
      <w:spacing w:beforeLines="0" w:afterLines="0"/>
    </w:pPr>
    <w:rPr>
      <w:rFonts w:ascii="宋体" w:eastAsia="宋体"/>
      <w:szCs w:val="21"/>
    </w:rPr>
  </w:style>
  <w:style w:type="paragraph" w:customStyle="1" w:styleId="108">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2">
    <w:name w:val="其他标准标志"/>
    <w:basedOn w:val="69"/>
    <w:qFormat/>
    <w:uiPriority w:val="0"/>
    <w:pPr>
      <w:framePr w:w="6101" w:vAnchor="page" w:hAnchor="page" w:x="4673" w:y="942"/>
    </w:pPr>
    <w:rPr>
      <w:w w:val="130"/>
    </w:rPr>
  </w:style>
  <w:style w:type="paragraph" w:customStyle="1" w:styleId="1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4">
    <w:name w:val="其他发布部门"/>
    <w:basedOn w:val="77"/>
    <w:qFormat/>
    <w:uiPriority w:val="0"/>
    <w:pPr>
      <w:framePr w:y="15310"/>
      <w:spacing w:line="0" w:lineRule="atLeast"/>
    </w:pPr>
    <w:rPr>
      <w:rFonts w:ascii="黑体" w:eastAsia="黑体"/>
      <w:b w:val="0"/>
    </w:rPr>
  </w:style>
  <w:style w:type="paragraph" w:customStyle="1" w:styleId="115">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6">
    <w:name w:val="三级无"/>
    <w:basedOn w:val="54"/>
    <w:qFormat/>
    <w:uiPriority w:val="0"/>
    <w:pPr>
      <w:spacing w:beforeLines="0" w:afterLines="0"/>
    </w:pPr>
    <w:rPr>
      <w:rFonts w:ascii="宋体" w:eastAsia="宋体"/>
    </w:rPr>
  </w:style>
  <w:style w:type="paragraph" w:customStyle="1" w:styleId="117">
    <w:name w:val="实施日期"/>
    <w:basedOn w:val="78"/>
    <w:qFormat/>
    <w:uiPriority w:val="0"/>
    <w:pPr>
      <w:framePr w:vAnchor="page" w:hAnchor="text"/>
      <w:jc w:val="right"/>
    </w:pPr>
  </w:style>
  <w:style w:type="paragraph" w:customStyle="1" w:styleId="118">
    <w:name w:val="示例后文字"/>
    <w:basedOn w:val="23"/>
    <w:next w:val="23"/>
    <w:qFormat/>
    <w:uiPriority w:val="0"/>
    <w:pPr>
      <w:ind w:firstLine="360"/>
    </w:pPr>
    <w:rPr>
      <w:sz w:val="18"/>
    </w:rPr>
  </w:style>
  <w:style w:type="paragraph" w:customStyle="1" w:styleId="119">
    <w:name w:val="首示例"/>
    <w:next w:val="23"/>
    <w:link w:val="120"/>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0">
    <w:name w:val="首示例 Char"/>
    <w:link w:val="119"/>
    <w:qFormat/>
    <w:uiPriority w:val="0"/>
    <w:rPr>
      <w:rFonts w:ascii="宋体" w:hAnsi="宋体"/>
      <w:kern w:val="2"/>
      <w:sz w:val="18"/>
      <w:szCs w:val="18"/>
      <w:lang w:val="en-US" w:eastAsia="zh-CN" w:bidi="ar-SA"/>
    </w:rPr>
  </w:style>
  <w:style w:type="paragraph" w:customStyle="1" w:styleId="121">
    <w:name w:val="四级无"/>
    <w:basedOn w:val="58"/>
    <w:qFormat/>
    <w:uiPriority w:val="0"/>
    <w:pPr>
      <w:spacing w:beforeLines="0" w:afterLines="0"/>
    </w:pPr>
    <w:rPr>
      <w:rFonts w:ascii="宋体" w:eastAsia="宋体"/>
    </w:rPr>
  </w:style>
  <w:style w:type="paragraph" w:customStyle="1" w:styleId="122">
    <w:name w:val="条文脚注"/>
    <w:basedOn w:val="24"/>
    <w:qFormat/>
    <w:uiPriority w:val="0"/>
    <w:pPr>
      <w:numPr>
        <w:ilvl w:val="0"/>
        <w:numId w:val="0"/>
      </w:numPr>
      <w:tabs>
        <w:tab w:val="clear" w:pos="0"/>
      </w:tabs>
      <w:jc w:val="both"/>
    </w:pPr>
  </w:style>
  <w:style w:type="paragraph" w:customStyle="1" w:styleId="123">
    <w:name w:val="图标脚注说明"/>
    <w:basedOn w:val="23"/>
    <w:qFormat/>
    <w:uiPriority w:val="0"/>
    <w:pPr>
      <w:ind w:left="840" w:hanging="420" w:firstLineChars="0"/>
    </w:pPr>
    <w:rPr>
      <w:sz w:val="18"/>
      <w:szCs w:val="18"/>
    </w:rPr>
  </w:style>
  <w:style w:type="paragraph" w:customStyle="1" w:styleId="124">
    <w:name w:val="图表脚注说明"/>
    <w:basedOn w:val="1"/>
    <w:qFormat/>
    <w:uiPriority w:val="0"/>
    <w:pPr>
      <w:numPr>
        <w:ilvl w:val="0"/>
        <w:numId w:val="15"/>
      </w:numPr>
    </w:pPr>
    <w:rPr>
      <w:rFonts w:ascii="宋体"/>
      <w:sz w:val="18"/>
      <w:szCs w:val="18"/>
    </w:rPr>
  </w:style>
  <w:style w:type="paragraph" w:customStyle="1" w:styleId="125">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五级无"/>
    <w:basedOn w:val="59"/>
    <w:qFormat/>
    <w:uiPriority w:val="0"/>
    <w:pPr>
      <w:spacing w:beforeLines="0" w:afterLines="0"/>
    </w:pPr>
    <w:rPr>
      <w:rFonts w:ascii="宋体" w:eastAsia="宋体"/>
    </w:rPr>
  </w:style>
  <w:style w:type="paragraph" w:customStyle="1" w:styleId="128">
    <w:name w:val="一级无"/>
    <w:basedOn w:val="45"/>
    <w:qFormat/>
    <w:uiPriority w:val="0"/>
    <w:pPr>
      <w:spacing w:beforeLines="0" w:afterLines="0"/>
    </w:pPr>
    <w:rPr>
      <w:rFonts w:ascii="宋体" w:eastAsia="宋体"/>
    </w:rPr>
  </w:style>
  <w:style w:type="paragraph" w:customStyle="1" w:styleId="129">
    <w:name w:val="正文表标题"/>
    <w:next w:val="23"/>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正文公式编号制表符"/>
    <w:basedOn w:val="23"/>
    <w:next w:val="23"/>
    <w:qFormat/>
    <w:uiPriority w:val="0"/>
    <w:pPr>
      <w:ind w:firstLine="0" w:firstLineChars="0"/>
    </w:pPr>
  </w:style>
  <w:style w:type="paragraph" w:customStyle="1" w:styleId="131">
    <w:name w:val="正文图标题"/>
    <w:next w:val="23"/>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终结线"/>
    <w:basedOn w:val="1"/>
    <w:qFormat/>
    <w:uiPriority w:val="0"/>
    <w:pPr>
      <w:framePr w:hSpace="181" w:vSpace="181" w:wrap="around" w:vAnchor="text" w:hAnchor="margin" w:xAlign="center" w:y="285"/>
    </w:pPr>
  </w:style>
  <w:style w:type="paragraph" w:customStyle="1" w:styleId="133">
    <w:name w:val="其他发布日期"/>
    <w:basedOn w:val="78"/>
    <w:qFormat/>
    <w:uiPriority w:val="0"/>
    <w:pPr>
      <w:framePr w:vAnchor="page" w:hAnchor="text" w:x="1419"/>
    </w:pPr>
  </w:style>
  <w:style w:type="paragraph" w:customStyle="1" w:styleId="134">
    <w:name w:val="其他实施日期"/>
    <w:basedOn w:val="117"/>
    <w:qFormat/>
    <w:uiPriority w:val="0"/>
  </w:style>
  <w:style w:type="paragraph" w:customStyle="1" w:styleId="135">
    <w:name w:val="封面标准名称2"/>
    <w:basedOn w:val="81"/>
    <w:qFormat/>
    <w:uiPriority w:val="0"/>
    <w:pPr>
      <w:framePr w:y="4469"/>
      <w:spacing w:beforeLines="630"/>
    </w:pPr>
  </w:style>
  <w:style w:type="paragraph" w:customStyle="1" w:styleId="136">
    <w:name w:val="封面标准英文名称2"/>
    <w:basedOn w:val="82"/>
    <w:qFormat/>
    <w:uiPriority w:val="0"/>
    <w:pPr>
      <w:framePr w:y="4469"/>
    </w:pPr>
  </w:style>
  <w:style w:type="paragraph" w:customStyle="1" w:styleId="137">
    <w:name w:val="封面一致性程度标识2"/>
    <w:basedOn w:val="83"/>
    <w:qFormat/>
    <w:uiPriority w:val="0"/>
    <w:pPr>
      <w:framePr w:y="4469"/>
    </w:pPr>
  </w:style>
  <w:style w:type="paragraph" w:customStyle="1" w:styleId="138">
    <w:name w:val="封面标准文稿类别2"/>
    <w:basedOn w:val="84"/>
    <w:qFormat/>
    <w:uiPriority w:val="0"/>
    <w:pPr>
      <w:framePr w:y="4469"/>
    </w:pPr>
  </w:style>
  <w:style w:type="paragraph" w:customStyle="1" w:styleId="139">
    <w:name w:val="封面标准文稿编辑信息2"/>
    <w:basedOn w:val="85"/>
    <w:qFormat/>
    <w:uiPriority w:val="0"/>
    <w:pPr>
      <w:framePr w:y="4469"/>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3329</Words>
  <Characters>3696</Characters>
  <Lines>369</Lines>
  <Paragraphs>390</Paragraphs>
  <TotalTime>4</TotalTime>
  <ScaleCrop>false</ScaleCrop>
  <LinksUpToDate>false</LinksUpToDate>
  <CharactersWithSpaces>6635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2023-07-23T16:50:00Z</dcterms:created>
  <dc:creator>user</dc:creator>
  <cp:lastModifiedBy>user</cp:lastModifiedBy>
  <cp:lastPrinted>2025-05-06T22:19:00Z</cp:lastPrinted>
  <dcterms:modified xsi:type="dcterms:W3CDTF">2026-04-17T10:17:31Z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B45979DAFB837329AFECC9692A611BC6_43</vt:lpwstr>
  </property>
  <property fmtid="{D5CDD505-2E9C-101B-9397-08002B2CF9AE}" pid="4" name="KSOTemplateDocerSaveRecord">
    <vt:lpwstr>eyJoZGlkIjoiNzc4OTc0Y2EyNThiYTlhMmY4ODlkYWZmNTMzY2UyMWUiLCJ1c2VySWQiOiIxODQwNjkzNSJ9</vt:lpwstr>
  </property>
</Properties>
</file>